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-11"/>
          <w:kern w:val="0"/>
          <w:sz w:val="44"/>
          <w:szCs w:val="44"/>
          <w:highlight w:val="none"/>
          <w:lang w:val="en-US" w:eastAsia="zh-CN" w:bidi="ar"/>
        </w:rPr>
        <w:t>坚持党对审计工作的集中统一领导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-11"/>
          <w:kern w:val="0"/>
          <w:sz w:val="44"/>
          <w:szCs w:val="44"/>
          <w:highlight w:val="none"/>
          <w:lang w:val="en-US" w:eastAsia="zh-CN" w:bidi="ar"/>
        </w:rPr>
        <w:t>更好发挥审计在推进党的自我革命中的独特作用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—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对2022年度自治区级预算执行和其他财政收支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napToGrid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审计工作报告解读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napToGrid/>
          <w:color w:val="auto"/>
          <w:sz w:val="28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年7月26日，受自治区人民政府委托，自治区审计厅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党组书记、副厅长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薛江向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第十四届人民代表大会常务委员会第四次会议作了《关于202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年度自治区级预算执行和其他财政收支的审计工作报告》（以下简称《审计工作报告》）。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各级审计机关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坚持以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习近平新时代中国特色社会主义思想为指导，深入学习贯彻党的二十大精神，认真贯彻落实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习近平总书记关于审计工作的重要论述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和自治区党委、政府部署要求，坚持党对审计工作的集中统一领导，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牢牢把握审计职责定位和使命任务，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立足经济监督主责主业，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注重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审计理念创新，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强化审计研究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突出问题导向，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敢于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动真碰硬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依规依纪依法对审计发现的问题提出问责建议，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严肃追责问责，加强审计整改，落实一查到底，履行好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审计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查病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治已病、防未病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职能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更好发挥审计在推进党的自我革命中的独特作用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为新疆经济社会高质量发展保驾护航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反映在今年的审计工作报告中，主要体现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以下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一、加强党对审计工作的集中统一领导，服务保障</w:t>
      </w:r>
      <w:r>
        <w:rPr>
          <w:rFonts w:hint="eastAsia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自治区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工作大局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准确把握审计的政治属性和政治功能，自觉从政治大局和战略全局思考谋划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审计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工作，坚决做到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如臂使指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，做到党的工作重点抓什么，审计就审什么，审计工作报告就反映什么。围绕党的路线方针政策在财经领域的落实情况，着重反映预算管理、财政资源统筹、财政支出绩效、执行财经纪律等要求的落实情况；围绕风险防控落实情况，重点揭示地方政府专项债券、国有企业、国有金融企业管理运营中的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zh-CN" w:eastAsia="zh-CN" w:bidi="ar-SA"/>
        </w:rPr>
        <w:t>风险隐患；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围绕加强意识形态方面，首次对自治区文化润疆政策措施落实情况开展审计，揭示文化领域重点政策措施和重点工程推进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及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落实方面存在的问题；围绕生态文明建设方面，重点揭示自治区水利资金管理使用和项目建设运营、自然资源资产管理和生态环境保护方面政策落实不到位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问题。始终坚持用政治眼光观察和分析经济社会问题，通过揭示经济问题、经济责任，反映政治问题、政治责任，切实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推动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党中央各项决策部署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及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自治区党委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政府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部署要求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落地落实。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二、立足经济监督定位，做好常态化</w:t>
      </w:r>
      <w:r>
        <w:rPr>
          <w:rFonts w:hint="eastAsia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经济体检</w:t>
      </w:r>
      <w:r>
        <w:rPr>
          <w:rFonts w:hint="eastAsia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立足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审计首先是经济监督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定位，聚焦财政财务收支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真实合法效益审计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主责主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业，始终做到事实清楚、有理有据、实事求是。总体评价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涉及实施积极财政政策、保障重点领域支出、增进民生福祉等4个方面，均源于年度审计内容。审计工作报告反映的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问题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有明确的审计对象和范围，所有问题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有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应的财政财务数据支撑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坚持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常态化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经济体检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，积极回应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自治区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人大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关注内容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，重点审计了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自治区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级财政管理、部门预算执行和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地方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政府专项债券管理使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用情况，进一步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加大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对财政资源统筹、提高财政支出绩效、深化预算管理改革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、政府债务管理和风险防控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等情况的审计力度。主要揭示了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非税执收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"/>
        </w:rPr>
        <w:t>部门履职不到位、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政决算民生支出列报不精准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专项资金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使用效率不高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、专项债券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项目推进缓慢或逾期未完工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等问题。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深入开展研究型审计，</w:t>
      </w:r>
      <w:r>
        <w:rPr>
          <w:rFonts w:hint="eastAsia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着力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提升审计工作质量和水平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坚持走研究型审计之路，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让常态化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经济体检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如影随形、如雷贯耳。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沿着“政治—政策—项目—资金”谋划年度审计项目，审计监督覆盖管理使用公共资金、国有资产、国有资源的地方、部门和单位，兼顾质量和效率；沿着“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资金—项目—政策—政治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这条主线，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审计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涉及的相关重大政策、改革要求、重大项目、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重点人员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进行深度监督，坚持问题导向，提高审计监督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的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精准性。如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审计报告中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围绕风险防控方面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，涉及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地方政府专项债券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企业国有资产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国有金融企业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等3项风险防控政策落实方面，揭示重点领域的突出风险；在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围绕推动基础设施建设方面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”，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重点对政策性开发性金融工具项目资金使用开展审计。在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巩固拓展脱贫攻坚成果同乡村振兴有效衔接跟踪审计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中，重点关注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"/>
        </w:rPr>
        <w:t>乡村振兴领域失职渎职、消极应付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"/>
        </w:rPr>
        <w:t>问题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"/>
        </w:rPr>
        <w:t>，厘清责任人并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"/>
        </w:rPr>
        <w:t>依规依纪依法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"/>
        </w:rPr>
        <w:t>移送纪检监察机关，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形成实际的、实质的震慑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"/>
        </w:rPr>
        <w:t>。把审计建议当做课题来研究，针对审计发现的问题提出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5条审计建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议，“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"/>
        </w:rPr>
        <w:t>高效统筹发展和安全，防范化解重大风险隐患”主要针对政府债务、国有企业、金融企业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风险防控方面，“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zh-CN" w:eastAsia="zh-CN" w:bidi="ar"/>
        </w:rPr>
        <w:t>聚焦重点领域和任务，推动重大政策落地落实”主要针对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保障和改善民生、文化润疆等重大政策落实不到位、重大项目推进缓慢等方面。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四、推动兜牢民生底线，监督到民生政策执行</w:t>
      </w:r>
      <w:r>
        <w:rPr>
          <w:rFonts w:hint="eastAsia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最后一公里</w:t>
      </w:r>
      <w:r>
        <w:rPr>
          <w:rFonts w:hint="eastAsia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”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highlight w:val="none"/>
          <w:lang w:val="en-US" w:eastAsia="zh-CN" w:bidi="ar-SA"/>
        </w:rPr>
        <w:t>深入践行以人民为中心的发展思想，加大对重点民生资金和项目的审计力度，聚焦推动兜牢民生底线，把审计监督跟进到民生项目和资金的</w:t>
      </w:r>
      <w:r>
        <w:rPr>
          <w:rFonts w:hint="eastAsia" w:ascii="仿宋_GB2312" w:hAnsi="仿宋_GB2312" w:cs="仿宋_GB2312"/>
          <w:kern w:val="2"/>
          <w:sz w:val="32"/>
          <w:szCs w:val="22"/>
          <w:highlight w:val="non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highlight w:val="none"/>
          <w:lang w:val="en-US" w:eastAsia="zh-CN" w:bidi="ar-SA"/>
        </w:rPr>
        <w:t>最后一公里</w:t>
      </w:r>
      <w:r>
        <w:rPr>
          <w:rFonts w:hint="eastAsia" w:ascii="仿宋_GB2312" w:hAnsi="仿宋_GB2312" w:cs="仿宋_GB2312"/>
          <w:kern w:val="2"/>
          <w:sz w:val="32"/>
          <w:szCs w:val="22"/>
          <w:highlight w:val="no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highlight w:val="none"/>
          <w:lang w:val="en-US" w:eastAsia="zh-CN" w:bidi="ar-SA"/>
        </w:rPr>
        <w:t>，促进保障和改善民生。一年来，组织</w:t>
      </w:r>
      <w:r>
        <w:rPr>
          <w:rFonts w:hint="eastAsia" w:ascii="仿宋_GB2312" w:hAnsi="仿宋_GB2312" w:cs="仿宋_GB2312"/>
          <w:kern w:val="2"/>
          <w:sz w:val="32"/>
          <w:szCs w:val="22"/>
          <w:highlight w:val="none"/>
          <w:lang w:val="en-US" w:eastAsia="zh-CN" w:bidi="ar-SA"/>
        </w:rPr>
        <w:t>全区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highlight w:val="none"/>
          <w:lang w:val="en-US" w:eastAsia="zh-CN" w:bidi="ar-SA"/>
        </w:rPr>
        <w:t>各级审计机关开展困难群众救助、巩固拓展脱贫攻坚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成果同乡村振兴有效衔接、职业教育等民生项目审计，重点</w:t>
      </w:r>
      <w:r>
        <w:rPr>
          <w:rFonts w:hint="default" w:ascii="Times New Roman" w:hAnsi="Times New Roman" w:cs="Times New Roman"/>
          <w:kern w:val="2"/>
          <w:sz w:val="32"/>
          <w:szCs w:val="22"/>
          <w:highlight w:val="none"/>
          <w:lang w:val="en-US" w:eastAsia="zh-CN" w:bidi="ar-SA"/>
        </w:rPr>
        <w:t>揭示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救助补助资金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发放不合规、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未及时足额安排拨付救助资金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救助资金结余或闲置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kern w:val="2"/>
          <w:sz w:val="32"/>
          <w:szCs w:val="22"/>
          <w:highlight w:val="none"/>
          <w:lang w:val="en-US" w:eastAsia="zh-CN" w:bidi="ar-SA"/>
        </w:rPr>
        <w:t>乡村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振兴产业项目</w:t>
      </w:r>
      <w:r>
        <w:rPr>
          <w:rFonts w:hint="eastAsia" w:cs="Times New Roman"/>
          <w:kern w:val="2"/>
          <w:sz w:val="32"/>
          <w:szCs w:val="22"/>
          <w:highlight w:val="none"/>
          <w:lang w:val="en-US" w:eastAsia="zh-CN" w:bidi="ar-SA"/>
        </w:rPr>
        <w:t>中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未按合同约定及时足额兑现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资产收益、分红、院校办学承载能力、产教融合和校企合作推进仍需深化等问题。通过审计，相关单位加强对政策落实、资金使用、项目实施等方面的管理，针对审计发现的问题，及时堵塞漏洞、规范管理，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推动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解决好人民群众急难愁盼问题。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聚焦权力规范运行，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更好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发挥审计在反腐治乱方面的重要作用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充分发挥审计在反腐治乱方面的重要作用，不断加大对权力集中、资金密集、资源富集领域的重点事项和重点环节</w:t>
      </w:r>
      <w:r>
        <w:rPr>
          <w:rFonts w:hint="eastAsia" w:ascii="Times New Roman" w:hAnsi="Times New Roman" w:cs="Times New Roman"/>
          <w:kern w:val="2"/>
          <w:sz w:val="32"/>
          <w:szCs w:val="2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审计监督，坚决查处群众身边的</w:t>
      </w:r>
      <w:r>
        <w:rPr>
          <w:rFonts w:hint="eastAsia" w:ascii="Times New Roman" w:hAnsi="Times New Roman" w:cs="Times New Roman"/>
          <w:kern w:val="2"/>
          <w:sz w:val="32"/>
          <w:szCs w:val="2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蝇贪蚁腐</w:t>
      </w:r>
      <w:r>
        <w:rPr>
          <w:rFonts w:hint="eastAsia" w:ascii="Times New Roman" w:hAnsi="Times New Roman" w:cs="Times New Roman"/>
          <w:kern w:val="2"/>
          <w:sz w:val="32"/>
          <w:szCs w:val="2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zh-CN" w:eastAsia="zh-CN" w:bidi="ar-SA"/>
        </w:rPr>
        <w:t>主要体现在</w:t>
      </w:r>
      <w:r>
        <w:rPr>
          <w:rFonts w:hint="eastAsia" w:ascii="Times New Roman" w:hAnsi="Times New Roman" w:cs="Times New Roman"/>
          <w:kern w:val="2"/>
          <w:sz w:val="32"/>
          <w:szCs w:val="2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个方面，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2"/>
          <w:highlight w:val="none"/>
          <w:lang w:val="zh-CN" w:eastAsia="zh-CN" w:bidi="ar-SA"/>
        </w:rPr>
        <w:t>一是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2"/>
          <w:highlight w:val="none"/>
          <w:lang w:val="zh-CN" w:eastAsia="zh-CN" w:bidi="ar-SA"/>
        </w:rPr>
        <w:t>揭示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zh-CN" w:eastAsia="zh-CN" w:bidi="ar-SA"/>
        </w:rPr>
        <w:t>乡村振兴领域失职渎职、消极应付</w:t>
      </w:r>
      <w:r>
        <w:rPr>
          <w:rFonts w:hint="default" w:ascii="Times New Roman" w:hAnsi="Times New Roman" w:cs="Times New Roman"/>
          <w:kern w:val="2"/>
          <w:sz w:val="32"/>
          <w:szCs w:val="22"/>
          <w:highlight w:val="none"/>
          <w:lang w:val="zh-CN" w:eastAsia="zh-CN" w:bidi="ar-SA"/>
        </w:rPr>
        <w:t>方面的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zh-CN" w:eastAsia="zh-CN" w:bidi="ar-SA"/>
        </w:rPr>
        <w:t>问题</w:t>
      </w:r>
      <w:r>
        <w:rPr>
          <w:rFonts w:hint="default" w:ascii="Times New Roman" w:hAnsi="Times New Roman" w:cs="Times New Roman"/>
          <w:kern w:val="2"/>
          <w:sz w:val="32"/>
          <w:szCs w:val="22"/>
          <w:highlight w:val="none"/>
          <w:lang w:val="zh-CN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zh-CN" w:eastAsia="zh-CN" w:bidi="ar-SA"/>
        </w:rPr>
        <w:t>主要</w:t>
      </w:r>
      <w:r>
        <w:rPr>
          <w:rFonts w:hint="default" w:ascii="Times New Roman" w:hAnsi="Times New Roman" w:cs="Times New Roman"/>
          <w:kern w:val="2"/>
          <w:sz w:val="32"/>
          <w:szCs w:val="22"/>
          <w:highlight w:val="none"/>
          <w:lang w:val="zh-CN" w:eastAsia="zh-CN" w:bidi="ar-SA"/>
        </w:rPr>
        <w:t>反映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截留挪用、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zh-CN" w:eastAsia="zh-CN" w:bidi="ar-SA"/>
        </w:rPr>
        <w:t>乡村振兴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项目盲目论证、管护不利，造成国有资金损失等</w:t>
      </w:r>
      <w:r>
        <w:rPr>
          <w:rFonts w:hint="default" w:ascii="Times New Roman" w:hAnsi="Times New Roman" w:cs="Times New Roman"/>
          <w:kern w:val="2"/>
          <w:sz w:val="32"/>
          <w:szCs w:val="2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cs="Times New Roman"/>
          <w:b/>
          <w:bCs/>
          <w:kern w:val="2"/>
          <w:sz w:val="32"/>
          <w:szCs w:val="22"/>
          <w:highlight w:val="none"/>
          <w:lang w:val="en-US" w:eastAsia="zh-CN" w:bidi="ar-SA"/>
        </w:rPr>
        <w:t>二是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揭示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工程建设领域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zh-CN" w:eastAsia="zh-CN" w:bidi="ar-SA"/>
        </w:rPr>
        <w:t>违法乱纪</w:t>
      </w:r>
      <w:r>
        <w:rPr>
          <w:rFonts w:hint="default" w:ascii="Times New Roman" w:hAnsi="Times New Roman" w:cs="Times New Roman"/>
          <w:kern w:val="2"/>
          <w:sz w:val="32"/>
          <w:szCs w:val="22"/>
          <w:highlight w:val="none"/>
          <w:lang w:val="zh-CN" w:eastAsia="zh-CN" w:bidi="ar-SA"/>
        </w:rPr>
        <w:t>方面的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zh-CN" w:eastAsia="zh-CN" w:bidi="ar-SA"/>
        </w:rPr>
        <w:t>问题</w:t>
      </w:r>
      <w:r>
        <w:rPr>
          <w:rFonts w:hint="default" w:ascii="Times New Roman" w:hAnsi="Times New Roman" w:cs="Times New Roman"/>
          <w:kern w:val="2"/>
          <w:sz w:val="32"/>
          <w:szCs w:val="22"/>
          <w:highlight w:val="none"/>
          <w:lang w:val="zh-CN" w:eastAsia="zh-CN" w:bidi="ar-SA"/>
        </w:rPr>
        <w:t>，主要反映</w:t>
      </w:r>
      <w:r>
        <w:rPr>
          <w:rFonts w:hint="eastAsia" w:ascii="Times New Roman" w:hAnsi="Times New Roman" w:cs="Times New Roman"/>
          <w:kern w:val="2"/>
          <w:sz w:val="32"/>
          <w:szCs w:val="22"/>
          <w:highlight w:val="none"/>
          <w:lang w:val="zh-CN" w:eastAsia="zh-CN" w:bidi="ar-SA"/>
        </w:rPr>
        <w:t>部分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zh-CN" w:eastAsia="zh-CN" w:bidi="ar-SA"/>
        </w:rPr>
        <w:t>建设单位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编造虚假资料套取项目资金用于其他开支</w:t>
      </w:r>
      <w:r>
        <w:rPr>
          <w:rFonts w:hint="default" w:ascii="Times New Roman" w:hAnsi="Times New Roman" w:cs="Times New Roman"/>
          <w:kern w:val="2"/>
          <w:sz w:val="32"/>
          <w:szCs w:val="2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应招标未招标、虚假招标、应废标单位中标、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zh-CN" w:eastAsia="zh-CN" w:bidi="ar-SA"/>
        </w:rPr>
        <w:t>违规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转包工程等</w:t>
      </w:r>
      <w:r>
        <w:rPr>
          <w:rFonts w:hint="eastAsia" w:ascii="Times New Roman" w:hAnsi="Times New Roman" w:cs="Times New Roman"/>
          <w:kern w:val="2"/>
          <w:sz w:val="32"/>
          <w:szCs w:val="2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-CN" w:bidi="ar-SA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" w:bidi="ar-SA"/>
        </w:rPr>
        <w:t>涉嫌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-CN" w:bidi="ar-SA"/>
        </w:rPr>
        <w:t>违纪违法问题线索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-CN" w:bidi="ar-SA"/>
        </w:rPr>
        <w:t>及时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-CN" w:bidi="ar-SA"/>
        </w:rPr>
        <w:t>移送</w:t>
      </w:r>
      <w:r>
        <w:rPr>
          <w:rFonts w:hint="eastAsia" w:ascii="Times New Roman" w:hAnsi="Times New Roman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-CN" w:bidi="ar-SA"/>
        </w:rPr>
        <w:t>相关部门单位进一步处理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六、压紧压实整改责任，做好审计</w:t>
      </w:r>
      <w:r>
        <w:rPr>
          <w:rFonts w:hint="eastAsia" w:ascii="Times New Roman" w:hAnsi="Times New Roman" w:eastAsia="黑体" w:cs="Times New Roman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整改“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下半篇文章</w:t>
      </w:r>
      <w:r>
        <w:rPr>
          <w:rFonts w:hint="eastAsia" w:ascii="Times New Roman" w:hAnsi="Times New Roman" w:eastAsia="黑体" w:cs="Times New Roman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自治区党委、政府高度重视审计</w:t>
      </w:r>
      <w:r>
        <w:rPr>
          <w:rFonts w:hint="eastAsia" w:ascii="Times New Roman" w:hAnsi="Times New Roman" w:cs="Times New Roman"/>
          <w:szCs w:val="22"/>
          <w:highlight w:val="none"/>
          <w:lang w:val="en-US" w:eastAsia="zh-CN"/>
        </w:rPr>
        <w:t>查出问题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整改工作，</w:t>
      </w:r>
      <w:r>
        <w:rPr>
          <w:rFonts w:hint="eastAsia" w:ascii="Times New Roman" w:hAnsi="Times New Roman" w:cs="Times New Roman"/>
          <w:szCs w:val="22"/>
          <w:highlight w:val="none"/>
          <w:lang w:val="en-US" w:eastAsia="zh-CN"/>
        </w:rPr>
        <w:t>主要领导亲自抓、亲自管，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多次召开专题会议研究部署审计整改工作</w:t>
      </w:r>
      <w:r>
        <w:rPr>
          <w:rFonts w:hint="eastAsia" w:ascii="Times New Roman" w:hAnsi="Times New Roman" w:cs="Times New Roman"/>
          <w:szCs w:val="22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提出</w:t>
      </w:r>
      <w:r>
        <w:rPr>
          <w:rFonts w:hint="eastAsia" w:ascii="Times New Roman" w:hAnsi="Times New Roman" w:cs="Times New Roman"/>
          <w:szCs w:val="22"/>
          <w:highlight w:val="none"/>
          <w:lang w:val="en-US" w:eastAsia="zh-CN"/>
        </w:rPr>
        <w:t>明确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要求，将审计整改</w:t>
      </w:r>
      <w:r>
        <w:rPr>
          <w:rFonts w:hint="eastAsia" w:ascii="Times New Roman" w:hAnsi="Times New Roman" w:cs="Times New Roman"/>
          <w:szCs w:val="22"/>
          <w:highlight w:val="none"/>
          <w:lang w:val="en-US" w:eastAsia="zh-CN"/>
        </w:rPr>
        <w:t>“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下半篇文章</w:t>
      </w:r>
      <w:r>
        <w:rPr>
          <w:rFonts w:hint="eastAsia" w:ascii="Times New Roman" w:hAnsi="Times New Roman" w:cs="Times New Roman"/>
          <w:szCs w:val="22"/>
          <w:highlight w:val="none"/>
          <w:lang w:val="en-US" w:eastAsia="zh-CN"/>
        </w:rPr>
        <w:t>”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与揭示问题</w:t>
      </w:r>
      <w:r>
        <w:rPr>
          <w:rFonts w:hint="eastAsia" w:ascii="Times New Roman" w:hAnsi="Times New Roman" w:cs="Times New Roman"/>
          <w:szCs w:val="22"/>
          <w:highlight w:val="none"/>
          <w:lang w:val="en-US" w:eastAsia="zh-CN"/>
        </w:rPr>
        <w:t>“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上半篇文章</w:t>
      </w:r>
      <w:r>
        <w:rPr>
          <w:rFonts w:hint="eastAsia" w:ascii="Times New Roman" w:hAnsi="Times New Roman" w:cs="Times New Roman"/>
          <w:szCs w:val="22"/>
          <w:highlight w:val="none"/>
          <w:lang w:val="en-US" w:eastAsia="zh-CN"/>
        </w:rPr>
        <w:t>”</w:t>
      </w:r>
      <w:r>
        <w:rPr>
          <w:rFonts w:hint="default" w:ascii="Times New Roman" w:hAnsi="Times New Roman" w:cs="Times New Roman"/>
          <w:szCs w:val="22"/>
          <w:highlight w:val="none"/>
          <w:lang w:val="en-US" w:eastAsia="zh-CN"/>
        </w:rPr>
        <w:t>一体推进。通过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进一步压实被审计单位整改主体责任、主管部门监督管理责任、审计部门跟踪检查责任，坚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当下改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”与“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长久立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相结合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，切实把审计整改成果转化为治理效能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截至2023年5月</w:t>
      </w:r>
      <w:r>
        <w:rPr>
          <w:rFonts w:hint="default" w:ascii="Times New Roman" w:hAnsi="Times New Roman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追回或盘活资金1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0.93亿元，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-CN" w:bidi="ar-SA"/>
        </w:rPr>
        <w:t>收回资金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6.23亿元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-CN" w:bidi="ar-SA"/>
        </w:rPr>
        <w:t>，促进拨付资金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5.42亿元，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-CN" w:bidi="ar-SA"/>
        </w:rPr>
        <w:t>收回违规发放的各类津补贴17.05万元，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兑现资产收益或脱贫群众工资8734.53万元，促进分红资金到户到人3057.6万元，追责问责261人（次），促进建立和完善规章制度113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zh-CN" w:eastAsia="zh-CN" w:bidi="ar-SA"/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下一步，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审计厅将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按照自治区党委、人民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部署要求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加大对审计工作报告反映问题整改情况的跟踪督促力度，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全面整改情况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将按规定向自治区人大常委会专题报告并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依法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向社会公开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</w:t>
      </w:r>
    </w:p>
    <w:p/>
    <w:sectPr>
      <w:pgSz w:w="11906" w:h="16838"/>
      <w:pgMar w:top="1440" w:right="1519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60313"/>
    <w:multiLevelType w:val="singleLevel"/>
    <w:tmpl w:val="64D6031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51F5"/>
    <w:rsid w:val="03BD6E60"/>
    <w:rsid w:val="04167609"/>
    <w:rsid w:val="06CE5FEE"/>
    <w:rsid w:val="07C72B82"/>
    <w:rsid w:val="096C410F"/>
    <w:rsid w:val="0D1D3FC7"/>
    <w:rsid w:val="0E903EB9"/>
    <w:rsid w:val="153A3712"/>
    <w:rsid w:val="164375B4"/>
    <w:rsid w:val="17EB6E11"/>
    <w:rsid w:val="1C642F8E"/>
    <w:rsid w:val="1D074A7C"/>
    <w:rsid w:val="1FD453AF"/>
    <w:rsid w:val="203B0818"/>
    <w:rsid w:val="20C46FBD"/>
    <w:rsid w:val="22832235"/>
    <w:rsid w:val="25513254"/>
    <w:rsid w:val="27C05429"/>
    <w:rsid w:val="29014033"/>
    <w:rsid w:val="2AFB489B"/>
    <w:rsid w:val="2C444D1C"/>
    <w:rsid w:val="2EC15CCA"/>
    <w:rsid w:val="30A9726A"/>
    <w:rsid w:val="35617C41"/>
    <w:rsid w:val="37270E0B"/>
    <w:rsid w:val="37465BD7"/>
    <w:rsid w:val="3AF5347B"/>
    <w:rsid w:val="3C1D6055"/>
    <w:rsid w:val="3EF13A2E"/>
    <w:rsid w:val="3F6912B6"/>
    <w:rsid w:val="405F14F5"/>
    <w:rsid w:val="409278BE"/>
    <w:rsid w:val="41C82D89"/>
    <w:rsid w:val="41F81150"/>
    <w:rsid w:val="438F1632"/>
    <w:rsid w:val="449B5782"/>
    <w:rsid w:val="46753FC0"/>
    <w:rsid w:val="47F71101"/>
    <w:rsid w:val="4BA000FC"/>
    <w:rsid w:val="4BFD4317"/>
    <w:rsid w:val="50CC1C98"/>
    <w:rsid w:val="51660C58"/>
    <w:rsid w:val="543B047E"/>
    <w:rsid w:val="560D60CE"/>
    <w:rsid w:val="56CE3CCC"/>
    <w:rsid w:val="56D3214B"/>
    <w:rsid w:val="58945838"/>
    <w:rsid w:val="59855B60"/>
    <w:rsid w:val="5A791BC3"/>
    <w:rsid w:val="5BC116AB"/>
    <w:rsid w:val="5BD11DAC"/>
    <w:rsid w:val="5EE914C3"/>
    <w:rsid w:val="5F412CC2"/>
    <w:rsid w:val="5FC038A8"/>
    <w:rsid w:val="61514BEE"/>
    <w:rsid w:val="63E763EB"/>
    <w:rsid w:val="645B2102"/>
    <w:rsid w:val="645D68E6"/>
    <w:rsid w:val="6A4E707E"/>
    <w:rsid w:val="6C0C4BBD"/>
    <w:rsid w:val="6EA06EDD"/>
    <w:rsid w:val="706A0A93"/>
    <w:rsid w:val="75F26542"/>
    <w:rsid w:val="7B0B1883"/>
    <w:rsid w:val="7BC40997"/>
    <w:rsid w:val="7BFA5A46"/>
    <w:rsid w:val="7DB9025B"/>
    <w:rsid w:val="7E1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Body Text First Indent 2"/>
    <w:basedOn w:val="4"/>
    <w:next w:val="1"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paragraph" w:styleId="4">
    <w:name w:val="Body Text Indent"/>
    <w:basedOn w:val="1"/>
    <w:uiPriority w:val="0"/>
    <w:pPr>
      <w:ind w:firstLine="63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网站发布员</cp:lastModifiedBy>
  <dcterms:modified xsi:type="dcterms:W3CDTF">2023-10-26T05:14:52Z</dcterms:modified>
  <dc:title>坚持党对审计工作的集中统一领导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