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审计业务经费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新疆维吾尔自治区审计厅本级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新疆维吾尔自治区审计厅本级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代琦</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1.立项依据及项目背景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根据《中华人民共和国审计法》《国务院关于加强审计工作意见》《中共中央办公厅 国务院办公厅关于印发&lt;党政主要领导干部和国有企业领导人员经济责任审计规定&gt;的通知》《关于切实保证地方审计机关经费问题的意见》《审计署关于印发进一步推进审计信息化建设指导意见的通知》《新疆维吾尔自治区审计厅审计组廉政责任规定》《自治区党政机关事业单位工作人员差旅费管理办法》，自治区“访惠聚”驻村工作领导小组办公室印发的《关于认真贯彻自治区党委部署要要求持续用力推进“访惠聚”驻村工作的通知》和《自治区审计厅外勤经费管理办法》《自治区审计厅审计项目工作量核定办法》等法规、制度、意见精神，为保证圆满完成自治区人民政府批准的年度审计项目计划，更好地为党委和政府宏观决策提供依据。 以习近平新时代中国特色社会主义思想为指导，全面贯彻党的二十大、二十届二中全会和中央经济工作会议精神，完整准确全面贯彻新时代党的治疆方略，深入学习贯彻习近平总书记关于审计工作的重要论述，认真贯彻落实自治区党委十届历次全会精神、全国审计工作会议精神，围绕高质量发展这一首要任务，坚持稳中求进工作总基调，以统筹实现“查病、治已病、防未病”三项职能为工作目标，以“重点审计、督导检查、新自查”三种方式履职尽责，充分发挥审计在推进党的自我革命中的独特作用，促进正风、肃纪、反腐，以有力有效的审计监督服务保障自治区工作大局。深入贯彻落实习近平总书记关于审计工作“六个聚焦”的重要要求，紧紧围绕自治区党委十届十次全会确定的12个方面重点工作制定年度审计计划，不断拓展审计监督的广度和深度，促进审计全覆盖，切实做到如影随形。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主要内容：年初对项目进行分解，由各业务部门作为项目实施主体，涉及主要业务有政府投资审计项目委托业务、本级预算执行审计、重大政策跟踪审计、社保审计、保障房审计、地理信息服务、信息化建设等各项业务工作。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3.项目实施情况：改变传统按照审计类型编制项目计划的方式，紧紧围绕自治区党委十届五次全会明确的15个方面重点任务，聚焦10个方面编制审计项目计划顺利通过自治区党委审计委员会审议，截至目前，90个审计项目已全部实施，共查出问题金额392.58亿元，通过上缴财政、督促拨付、归还渠道等整改金额120.71亿元，向纪检监察机关等移送事项39件。一是聚焦国家安全及稳定，结合2022年以来自治区调整后的各项维稳措施落实、政法队伍整顿发现问题整改，对6个公检法系统部门开展审计，推动法治新疆建设。对3个部门开展网络安全和信息化审计，促进信息化建设和管理。二是聚焦意识形态工作，首次开展文化润疆审计，揭示文物和文化遗产保护利用等工作存在的突出问题，推动完善制度36项，为更好发挥文化“支点”作用建言献策。开展新疆译制大厦审计，推动项目建成投运以更好实现民族译制资源整合和优化配置。三是聚焦八大产业集群建设，矿产方面，组织开展矿产资源开发利用、新疆地矿集团审计，主要发现了因政策激励机制不健全、配套措施不匹配等导致矿产勘探滞后等问题，有序推进探矿权补办、矿产资源配置。对3个地州开展纺织服装产业审计，重点关注扶持政策衔接、资金管理使用等情况。立足新疆战略定位开展全区耕地保护及粮食种植审计，深入揭示影响耕地保护目标完成、阻碍高标准农田项目落地等问题，守护粮食安全。在创新驱动发展审计中揭示区域创新体系不完善、创新平台发展滞后等问题。四是聚焦丝绸之路经济带核心区建设，开展乌鲁木齐国际陆港区投资建设运营审计，揭示管理机制缺陷、要素不匹配等问题，有关专题报告获自治区党委主要领导批示。结合主题教育专项整治，开展优化营商环境审计，督促清退清偿各类保证金和拖欠款1800万元。开展全区政府性融资担保公司审计，重点关注“支小支微支农”政策落实、风险管控等，防范系统性金融风险。五是聚焦基础设施建设，贯彻落实历次全国对口援疆工作会议精神，连续14年开展援疆资金和项目审计，推动党的惠疆爱民政策落地见效。国外贷援款方面，对全区2013年以来已完工的23个国外贷援款项目进行审计，有关部门通过资产转固、调整账目等整改46.6亿元，规范外资合理有效利用。开展政府专项债审计，督促有关部门地方加快项目实施、规范资金管理等整改10亿多元。开展塔城重点开发开放试验区审计，推动建设提速。六是聚焦节水蓄水调水，对水资源集约节约利用开展区地县三级“穿透式”审计，严肃查处落实最严格水资源制度不到位等突出问题，同时对艾比湖流域生态环境保护工程开展审计，促进优化水资源配置，推进水资源调蓄能力建设。七是聚焦污染防治，组织对12个区县开展领导干部自然资源资产离任审计，重点揭示大气、水和土壤污染防治管控不到位等问题，推广评价指标体系应用，更好评估领导干部生态文明建设责任制落实，为选拔任用干部提供参考。八是聚焦改善民生，践行以人民为中心的发展思想，组织开展困难群众救助、就业、乡村振兴、医疗、公共卫生等民生项目和资金审计，严肃查处骗取套取挤占挪用“救命钱”“救急钱”等侵害群众切身利益的问题，督促拨付资金、归还套取或挤占资金、兑现本金收益等1.4亿多元，推动各项惠民富民利民政策落实。九是聚焦治理体系和治理能力现代化，组织开展自治区本级预算执行、政府投资、部门预算执行审计，配合统计造假专项整治，严肃查处虚增财政收入、财经数据造假等严重扰乱财经秩序、违反财经纪律的问题，通过上缴、清收等整改资金6亿多元，推动财政体制改革、重大项目有序实施。首次对8家国企开展“巡审联动”，严肃查处重大决策失误造成国有资产损失、偏离主业、“靠企吃企”等问题，审计中向巡视组移交问题200余条，审计成果多次获自治区领导充分肯定。对自治区联社及所辖5个县市行社开展审计，重点关注救助金置换贷款、下迁风险贷款等，结合不同管理层级提出审计建议，助力防范化解金融风险。十是聚焦全面从严治党，组织开展部门单位、企业、高校、县市主要领导干部经责审计，国企对外借款监管缺失、就业资金政策落实不到位等研究成果被自治区采用。配合完成违反客观规律大干快上专项整治。首次对2个地州审计整改情况进行审计，进一步压实审计整改责任。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4.资金投入和使用情况：审计业务经费2023年度预算资金安排2,376万元，实际到位资金总额2,376万元，年中无追加资金，属延续性项目，全部为财政拨款资金。   </w:t>
      </w:r>
      <w:r>
        <w:rPr>
          <w:rStyle w:val="17"/>
          <w:rFonts w:hint="eastAsia" w:ascii="楷体" w:hAnsi="楷体" w:eastAsia="楷体"/>
          <w:spacing w:val="-4"/>
          <w:sz w:val="32"/>
          <w:szCs w:val="32"/>
        </w:rPr>
        <w:br/>
      </w:r>
      <w:r>
        <w:rPr>
          <w:rStyle w:val="17"/>
          <w:rFonts w:hint="eastAsia" w:ascii="楷体" w:hAnsi="楷体" w:eastAsia="楷体"/>
          <w:spacing w:val="-4"/>
          <w:sz w:val="32"/>
          <w:szCs w:val="32"/>
        </w:rPr>
        <w:t>2023年一般公共预算拨款实际支付2258.24万元，预算执行率95.04%。</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（二）项目绩效目标。包括总体目标和阶段性目标。</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1.总目标：以习近平新时代中国特色社会主义思想为指导，全面贯彻党的二十大、二十届二中全会和中央经济工作会议精神，完整准确全面贯彻新时代党的治疆方略，深入学习贯彻习近平总书记关于审计工作的重要论述，认真贯彻落实自治区党委十届历次全会精神、全国审计工作会议精神，围绕高质量发展这一首要任务，坚持稳中求进工作总基调，以统筹实现“查病、治已病、防未病”三项职能为工作目标，以“重点审计、督导检查、新自查”三种方式履职尽责，充分发挥审计在推进党的自我革命中的独特作用，促进正风、肃纪、反腐，以有力有效的审计监督服务保障自治区工作大局。深入贯彻落实习近平总书记关于审计工作“六个聚焦”的重要要求，紧紧围绕自治区党委十届十次全会确定的12个方面重点工作制定年度审计计划，不断拓展审计监督的广度和深度，促进审计全覆盖，切实做到如影随形。 </w:t>
      </w:r>
      <w:r>
        <w:rPr>
          <w:rStyle w:val="17"/>
          <w:rFonts w:hint="eastAsia" w:ascii="楷体" w:hAnsi="楷体" w:eastAsia="楷体"/>
          <w:spacing w:val="-4"/>
          <w:sz w:val="32"/>
          <w:szCs w:val="32"/>
        </w:rPr>
        <w:br/>
      </w:r>
      <w:r>
        <w:rPr>
          <w:rStyle w:val="17"/>
          <w:rFonts w:hint="eastAsia" w:ascii="楷体" w:hAnsi="楷体" w:eastAsia="楷体"/>
          <w:spacing w:val="-4"/>
          <w:sz w:val="32"/>
          <w:szCs w:val="32"/>
        </w:rPr>
        <w:t>2.阶段性目标：（1）严格落实自治区年度审计项目计划安排，高质量完成重大政策措施贯彻落实情况跟踪审计、财政审计、经济责任审计等各项审计任务，做好年度自治区本级预算执行和其他财政收支审计和审计查出问题整改情况报告工作，推动自治区党委、政府各项部署要求落实到位；（2）加强和改进审计管理和组织方式，深化审计资源调配，坚持科技强审，充分利用信息化手段，高质量推进自治区本级财政一级预算单位预算执行审计全覆盖，切实做到党中央重大政策措施部署到哪里，国家利益延伸到哪里，公共资金运用到哪里，公共权力使到哪里，审计监督就跟进到哪里；（3）强化审计查出问题整改情况的跟踪督促检查，严格对账销号，进一步压实整改主体责任，促进被审计单位制定整改措施、明确整改目标、完善制度机制；对已整改的问题及时组织“回头看”，防止敷衍整改、虚假整改；切实推动审计查出问题得到全部整改、彻底整改；（4）严格执行中央八项规定及其实施细则精神，大力推进精文简会，牢固树立绩效意识，全面实施预算绩效管理，推进内部控制管理工作，全面落实带头过“紧日子”要求；（5）强化专业训练、实践锻炼，通过业务培训，切实提升审计干部“能查、能说、能写”的能力，提高审计工作质量和水平。</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w:t>
      </w:r>
      <w:r>
        <w:rPr>
          <w:rStyle w:val="17"/>
          <w:rFonts w:hint="eastAsia"/>
          <w:spacing w:val="-4"/>
          <w:sz w:val="32"/>
          <w:szCs w:val="32"/>
        </w:rPr>
        <w:t>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绩效评价旨在通过评价改善审计厅整体财政支出管理，优化资源配置及提高服务水平。运用科学、规范的绩效评价方法，按照《中共中央 国务院关于全面实施预算绩效管理的意见》（中发〔2018〕34号）、《自治区党委 自治区人民政府关于全面实施预算绩效管理的实施意见》（新党发〔2018〕30号）以及自治区财政厅《关于印发﹤自治区本级财政支出绩效评价管理暂行办法﹥的通知》（新财预〔2018〕188号）的要求，对审计业务经费项目进行科学评价，确保项目预算编制合理性、资金使用合规性、项目管理的规范性、项目目标的实现情况、服务对象的满意度等，通过评价来总结经验，促进项目成果应用，为今后项目的长效管理，提供可行性参考建议。贯彻落实好全面实施预算绩效管理工作要求，认真梳理总结推进预算绩效管理工作经验，进一步增强预算绩效管理主体责任意识，细化分解各项任务目标，确保组织保障到位，任务安排到底，责任落实到人，逐步提高预算绩效管理水平。   </w:t>
      </w:r>
      <w:r>
        <w:rPr>
          <w:rStyle w:val="17"/>
          <w:rFonts w:hint="eastAsia" w:ascii="楷体" w:hAnsi="楷体" w:eastAsia="楷体"/>
          <w:spacing w:val="-4"/>
          <w:sz w:val="32"/>
          <w:szCs w:val="32"/>
        </w:rPr>
        <w:br/>
      </w:r>
      <w:r>
        <w:rPr>
          <w:rStyle w:val="17"/>
          <w:rFonts w:hint="eastAsia" w:ascii="楷体" w:hAnsi="楷体" w:eastAsia="楷体"/>
          <w:spacing w:val="-4"/>
          <w:sz w:val="32"/>
          <w:szCs w:val="32"/>
        </w:rPr>
        <w:t>本次评价从项目决策（包括绩效目标、决策过程）、项目管理（包括项目资金、项目实施）、项目产出（包括项目产出数量、产出质量）经济效益四个维度进行评价，评价对象为财政下达审计业务经费项目，评价核心为项目资金的支出完成情况和效果。</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（二）绩效评价原则、评价指标体系（附表说明）、评价方法、评价标准等。</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本次绩效评价指标体系主要分为共性指标和个性指标两大类。共性指标下设决策与过程2个一级指标，其中：项目决策下项目立项、绩效目标、资金投入3个二级指标；过程下设资金管理和组织实施2个二级指标。个性指标下设产出和效益2个一级指标，其中产出下设产出数量、产出质量、2个2级指标，效益下设经济效益2个二级指标。项目绩效评价指标体系详见下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二级指标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三级指标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指标解释   </w:t>
      </w:r>
      <w:r>
        <w:rPr>
          <w:rStyle w:val="17"/>
          <w:rFonts w:hint="eastAsia" w:ascii="楷体" w:hAnsi="楷体" w:eastAsia="楷体"/>
          <w:spacing w:val="-4"/>
          <w:sz w:val="32"/>
          <w:szCs w:val="32"/>
        </w:rPr>
        <w:br/>
      </w:r>
      <w:r>
        <w:rPr>
          <w:rStyle w:val="17"/>
          <w:rFonts w:hint="eastAsia" w:ascii="楷体" w:hAnsi="楷体" w:eastAsia="楷体"/>
          <w:spacing w:val="-4"/>
          <w:sz w:val="32"/>
          <w:szCs w:val="32"/>
        </w:rPr>
        <w:t>决策   （20分）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项目立项（10分）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立项依据   </w:t>
      </w:r>
      <w:r>
        <w:rPr>
          <w:rStyle w:val="17"/>
          <w:rFonts w:hint="eastAsia" w:ascii="楷体" w:hAnsi="楷体" w:eastAsia="楷体"/>
          <w:spacing w:val="-4"/>
          <w:sz w:val="32"/>
          <w:szCs w:val="32"/>
        </w:rPr>
        <w:br/>
      </w:r>
      <w:r>
        <w:rPr>
          <w:rStyle w:val="17"/>
          <w:rFonts w:hint="eastAsia" w:ascii="楷体" w:hAnsi="楷体" w:eastAsia="楷体"/>
          <w:spacing w:val="-4"/>
          <w:sz w:val="32"/>
          <w:szCs w:val="32"/>
        </w:rPr>
        <w:t>充分性(5分)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项目立项是否符合法律法规、相关政策、发展规划以及部门职责，用以反映和考核项目立项依据情况。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立项程序   </w:t>
      </w:r>
      <w:r>
        <w:rPr>
          <w:rStyle w:val="17"/>
          <w:rFonts w:hint="eastAsia" w:ascii="楷体" w:hAnsi="楷体" w:eastAsia="楷体"/>
          <w:spacing w:val="-4"/>
          <w:sz w:val="32"/>
          <w:szCs w:val="32"/>
        </w:rPr>
        <w:br/>
      </w:r>
      <w:r>
        <w:rPr>
          <w:rStyle w:val="17"/>
          <w:rFonts w:hint="eastAsia" w:ascii="楷体" w:hAnsi="楷体" w:eastAsia="楷体"/>
          <w:spacing w:val="-4"/>
          <w:sz w:val="32"/>
          <w:szCs w:val="32"/>
        </w:rPr>
        <w:t>规范性(5分)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项目申请、设立过程是否符合相关要求，用以反映和考核项目立项的规范情况。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绩效目标（5分）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绩效目标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合理性(2.5分)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项目所设定的绩效目标是否依据充分，是否符合客观实际，用以反映和考核项目绩效目标与项目实施的相符情况。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绩效指标   </w:t>
      </w:r>
      <w:r>
        <w:rPr>
          <w:rStyle w:val="17"/>
          <w:rFonts w:hint="eastAsia" w:ascii="楷体" w:hAnsi="楷体" w:eastAsia="楷体"/>
          <w:spacing w:val="-4"/>
          <w:sz w:val="32"/>
          <w:szCs w:val="32"/>
        </w:rPr>
        <w:br/>
      </w:r>
      <w:r>
        <w:rPr>
          <w:rStyle w:val="17"/>
          <w:rFonts w:hint="eastAsia" w:ascii="楷体" w:hAnsi="楷体" w:eastAsia="楷体"/>
          <w:spacing w:val="-4"/>
          <w:sz w:val="32"/>
          <w:szCs w:val="32"/>
        </w:rPr>
        <w:t>明确性(2.5分)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依据绩效目标设定的绩效指标是否清晰、细化、可衡量等，用以反映和考核项目绩效目标的明细化情况。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资金投入（5分）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预算编制   </w:t>
      </w:r>
      <w:r>
        <w:rPr>
          <w:rStyle w:val="17"/>
          <w:rFonts w:hint="eastAsia" w:ascii="楷体" w:hAnsi="楷体" w:eastAsia="楷体"/>
          <w:spacing w:val="-4"/>
          <w:sz w:val="32"/>
          <w:szCs w:val="32"/>
        </w:rPr>
        <w:br/>
      </w:r>
      <w:r>
        <w:rPr>
          <w:rStyle w:val="17"/>
          <w:rFonts w:hint="eastAsia" w:ascii="楷体" w:hAnsi="楷体" w:eastAsia="楷体"/>
          <w:spacing w:val="-4"/>
          <w:sz w:val="32"/>
          <w:szCs w:val="32"/>
        </w:rPr>
        <w:t>科学性   (2.5分)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项目预算编制是否经过科学论证、有明确标准，资金额度与年度目标是否相适应，用以反映和考核项目预算编制的科学性、合理性情况。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资金分配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合理性(2.5分)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项目预算资金分配是否有测算依据，与补助单位或地方实际是否相适应，用以反映和考核项目预算资金分配的科学性、合理性情况。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过程   （20分）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资金管理（12分）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预算执行率  （6分）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项目预算资金是否按照计划执行，用以反映或考核项目预算执行情况。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资金使用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合规性     （6分）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项目资金使用是否符合相关的财务管理制度规定，用以反映和考核项目资金的规范运行情况。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组织实施（8分）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管理制度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健全性     （4分）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项目实施单位的财务和业务管理制度是否健全，用以反映和考核财务和业务管理制度对项目顺利实施的保障情况。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制度执行   </w:t>
      </w:r>
      <w:r>
        <w:rPr>
          <w:rStyle w:val="17"/>
          <w:rFonts w:hint="eastAsia" w:ascii="楷体" w:hAnsi="楷体" w:eastAsia="楷体"/>
          <w:spacing w:val="-4"/>
          <w:sz w:val="32"/>
          <w:szCs w:val="32"/>
        </w:rPr>
        <w:br/>
      </w:r>
      <w:r>
        <w:rPr>
          <w:rStyle w:val="17"/>
          <w:rFonts w:hint="eastAsia" w:ascii="楷体" w:hAnsi="楷体" w:eastAsia="楷体"/>
          <w:spacing w:val="-4"/>
          <w:sz w:val="32"/>
          <w:szCs w:val="32"/>
        </w:rPr>
        <w:t>有效性     （4分）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项目实施是否符合相关管理规定，用以反映和考核相关管理制度的有效执行情况。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产出   （40分）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产出数量</w:t>
      </w:r>
      <w:r>
        <w:rPr>
          <w:rStyle w:val="17"/>
          <w:rFonts w:hint="eastAsia" w:ascii="楷体" w:hAnsi="楷体" w:eastAsia="楷体"/>
          <w:spacing w:val="-4"/>
          <w:sz w:val="32"/>
          <w:szCs w:val="32"/>
        </w:rPr>
        <w:tab/>
      </w:r>
      <w:r>
        <w:rPr>
          <w:rStyle w:val="17"/>
          <w:rFonts w:hint="eastAsia" w:ascii="楷体" w:hAnsi="楷体" w:eastAsia="楷体"/>
          <w:spacing w:val="-4"/>
          <w:sz w:val="32"/>
          <w:szCs w:val="32"/>
        </w:rPr>
        <w:t>实际完成率  （20分）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项目实施的实际产出数与计划产出数的比率，用以反映和考核项目产出数量目标的实现程度。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产出质量</w:t>
      </w:r>
      <w:r>
        <w:rPr>
          <w:rStyle w:val="17"/>
          <w:rFonts w:hint="eastAsia" w:ascii="楷体" w:hAnsi="楷体" w:eastAsia="楷体"/>
          <w:spacing w:val="-4"/>
          <w:sz w:val="32"/>
          <w:szCs w:val="32"/>
        </w:rPr>
        <w:tab/>
      </w:r>
      <w:r>
        <w:rPr>
          <w:rStyle w:val="17"/>
          <w:rFonts w:hint="eastAsia" w:ascii="楷体" w:hAnsi="楷体" w:eastAsia="楷体"/>
          <w:spacing w:val="-4"/>
          <w:sz w:val="32"/>
          <w:szCs w:val="32"/>
        </w:rPr>
        <w:t>质量达标率（20分）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项目完成的质量达标产出数与实际产出数的比率，用以反映和考核项目产出质量目标的实现程度。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效益    （20分）　</w:t>
      </w:r>
      <w:r>
        <w:rPr>
          <w:rStyle w:val="17"/>
          <w:rFonts w:hint="eastAsia" w:ascii="楷体" w:hAnsi="楷体" w:eastAsia="楷体"/>
          <w:spacing w:val="-4"/>
          <w:sz w:val="32"/>
          <w:szCs w:val="32"/>
        </w:rPr>
        <w:tab/>
      </w:r>
      <w:r>
        <w:rPr>
          <w:rStyle w:val="17"/>
          <w:rFonts w:hint="eastAsia" w:ascii="楷体" w:hAnsi="楷体" w:eastAsia="楷体"/>
          <w:spacing w:val="-4"/>
          <w:sz w:val="32"/>
          <w:szCs w:val="32"/>
        </w:rPr>
        <w:t>项目效益　</w:t>
      </w:r>
      <w:r>
        <w:rPr>
          <w:rStyle w:val="17"/>
          <w:rFonts w:hint="eastAsia" w:ascii="楷体" w:hAnsi="楷体" w:eastAsia="楷体"/>
          <w:spacing w:val="-4"/>
          <w:sz w:val="32"/>
          <w:szCs w:val="32"/>
        </w:rPr>
        <w:tab/>
      </w:r>
      <w:r>
        <w:rPr>
          <w:rStyle w:val="17"/>
          <w:rFonts w:hint="eastAsia" w:ascii="楷体" w:hAnsi="楷体" w:eastAsia="楷体"/>
          <w:spacing w:val="-4"/>
          <w:sz w:val="32"/>
          <w:szCs w:val="32"/>
        </w:rPr>
        <w:t>经济效益   （10分）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项目实施所产生的效益。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ab/>
      </w:r>
      <w:r>
        <w:rPr>
          <w:rStyle w:val="17"/>
          <w:rFonts w:hint="eastAsia" w:ascii="楷体" w:hAnsi="楷体" w:eastAsia="楷体"/>
          <w:spacing w:val="-4"/>
          <w:sz w:val="32"/>
          <w:szCs w:val="32"/>
        </w:rPr>
        <w:t>满意度     （10分）</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社会公众或服务对象对项目实施效果的满意程度。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3.绩效评价标准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绩效评价标准通常包括计划标准、行业标准、历史标准等，用于对绩效指标完成情况进行比较。本次评价主要采用了历史标准和行业标准。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4.评价方法   </w:t>
      </w:r>
      <w:r>
        <w:rPr>
          <w:rStyle w:val="17"/>
          <w:rFonts w:hint="eastAsia" w:ascii="楷体" w:hAnsi="楷体" w:eastAsia="楷体"/>
          <w:spacing w:val="-4"/>
          <w:sz w:val="32"/>
          <w:szCs w:val="32"/>
        </w:rPr>
        <w:br/>
      </w:r>
      <w:r>
        <w:rPr>
          <w:rStyle w:val="17"/>
          <w:rFonts w:hint="eastAsia" w:ascii="楷体" w:hAnsi="楷体" w:eastAsia="楷体"/>
          <w:spacing w:val="-4"/>
          <w:sz w:val="32"/>
          <w:szCs w:val="32"/>
        </w:rPr>
        <w:t>绩效评价方法主要包括成本效益分析法、比较法、因素分析法、最低成本法、公众评判法、标杆管理法等。针对本项目，在评价过程中主要采用了因素分析法、成本效益分析法等。</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包括评价基础数据收集、资料来源和依据等佐证材料等情况。 项目负责各部门围绕项目预期要达到的总体目标、完成的工作量、工作质量、完成时间、应达到的预期效果等指标，不断完善该项目的所有资料准备，保障各项任务如期完成，并及时对项目进行支付和反馈。</w:t>
      </w:r>
    </w:p>
    <w:p>
      <w:p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三、</w:t>
      </w:r>
      <w:r>
        <w:rPr>
          <w:rStyle w:val="17"/>
          <w:rFonts w:hint="eastAsia"/>
          <w:spacing w:val="-4"/>
          <w:sz w:val="32"/>
          <w:szCs w:val="32"/>
        </w:rPr>
        <w:t>综合评价情况及评价结论</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 xml:space="preserve">运用由项目组制订评价指标体系及评分标准，通过数据采集、实地调查，对审计业务经费项目进行客观评价，绩效指标分为四大类，总分值100分，实际得分100分，评价等级为“优”。其中：产出指标分40分，实际得分40分，得分率100%；成本指标分值35分，实际得分35分，得分率100%；效益指标分值5分，实际得分5分，得分率100%。满意度指标分值10分，实际得分10分，得分率100%。具体打分情况详见附件2（综合评分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审计业务经费得分情况表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A.项目产出</w:t>
      </w:r>
      <w:r>
        <w:rPr>
          <w:rStyle w:val="17"/>
          <w:rFonts w:hint="eastAsia" w:ascii="楷体" w:hAnsi="楷体" w:eastAsia="楷体"/>
          <w:spacing w:val="-4"/>
          <w:sz w:val="32"/>
          <w:szCs w:val="32"/>
        </w:rPr>
        <w:tab/>
      </w:r>
      <w:r>
        <w:rPr>
          <w:rStyle w:val="17"/>
          <w:rFonts w:hint="eastAsia" w:ascii="楷体" w:hAnsi="楷体" w:eastAsia="楷体"/>
          <w:spacing w:val="-4"/>
          <w:sz w:val="32"/>
          <w:szCs w:val="32"/>
        </w:rPr>
        <w:t>40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40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B.项目成本</w:t>
      </w:r>
      <w:r>
        <w:rPr>
          <w:rStyle w:val="17"/>
          <w:rFonts w:hint="eastAsia" w:ascii="楷体" w:hAnsi="楷体" w:eastAsia="楷体"/>
          <w:spacing w:val="-4"/>
          <w:sz w:val="32"/>
          <w:szCs w:val="32"/>
        </w:rPr>
        <w:tab/>
      </w:r>
      <w:r>
        <w:rPr>
          <w:rStyle w:val="17"/>
          <w:rFonts w:hint="eastAsia" w:ascii="楷体" w:hAnsi="楷体" w:eastAsia="楷体"/>
          <w:spacing w:val="-4"/>
          <w:sz w:val="32"/>
          <w:szCs w:val="32"/>
        </w:rPr>
        <w:t>35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 35  </w:t>
      </w:r>
      <w:r>
        <w:rPr>
          <w:rStyle w:val="17"/>
          <w:rFonts w:hint="eastAsia" w:ascii="楷体" w:hAnsi="楷体" w:eastAsia="楷体"/>
          <w:spacing w:val="-4"/>
          <w:sz w:val="32"/>
          <w:szCs w:val="32"/>
        </w:rPr>
        <w:br/>
      </w:r>
      <w:r>
        <w:rPr>
          <w:rStyle w:val="17"/>
          <w:rFonts w:hint="eastAsia" w:ascii="楷体" w:hAnsi="楷体" w:eastAsia="楷体"/>
          <w:spacing w:val="-4"/>
          <w:sz w:val="32"/>
          <w:szCs w:val="32"/>
        </w:rPr>
        <w:t>C.项目效益</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95%</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D.项目满意度</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w:t>
      </w:r>
      <w:r>
        <w:rPr>
          <w:rStyle w:val="17"/>
          <w:rFonts w:hint="eastAsia"/>
          <w:spacing w:val="-4"/>
          <w:sz w:val="32"/>
          <w:szCs w:val="32"/>
        </w:rPr>
        <w:t>绩效评价指标分析</w:t>
      </w:r>
      <w:r>
        <w:rPr>
          <w:rStyle w:val="17"/>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项目决策指标从决策依据、目标内容、资金投入3个方面对项目的决策目标完成情况进行评价，项目决策类指标分值10分，实际得分10分，得分率100%。项目决策指标得分情况如表所示。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项目决策指标得分情况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A.项目立项</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B.绩效目标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3</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3   </w:t>
      </w:r>
      <w:r>
        <w:rPr>
          <w:rStyle w:val="17"/>
          <w:rFonts w:hint="eastAsia" w:ascii="楷体" w:hAnsi="楷体" w:eastAsia="楷体"/>
          <w:spacing w:val="-4"/>
          <w:sz w:val="32"/>
          <w:szCs w:val="32"/>
        </w:rPr>
        <w:br/>
      </w:r>
      <w:r>
        <w:rPr>
          <w:rStyle w:val="17"/>
          <w:rFonts w:hint="eastAsia" w:ascii="楷体" w:hAnsi="楷体" w:eastAsia="楷体"/>
          <w:spacing w:val="-4"/>
          <w:sz w:val="32"/>
          <w:szCs w:val="32"/>
        </w:rPr>
        <w:t>C.资金投入</w:t>
      </w:r>
      <w:r>
        <w:rPr>
          <w:rStyle w:val="17"/>
          <w:rFonts w:hint="eastAsia" w:ascii="楷体" w:hAnsi="楷体" w:eastAsia="楷体"/>
          <w:spacing w:val="-4"/>
          <w:sz w:val="32"/>
          <w:szCs w:val="32"/>
        </w:rPr>
        <w:tab/>
      </w:r>
      <w:r>
        <w:rPr>
          <w:rStyle w:val="17"/>
          <w:rFonts w:hint="eastAsia" w:ascii="楷体" w:hAnsi="楷体" w:eastAsia="楷体"/>
          <w:spacing w:val="-4"/>
          <w:sz w:val="32"/>
          <w:szCs w:val="32"/>
        </w:rPr>
        <w:t>2</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经过论证，我们认为审计业务经费，根据2023年度审计项目计划，以习近平新时代中国特色社会主义思想为指导，全面贯彻党的二十大、二十届二中全会和中央经济工作会议精神，完整准确全面贯彻新时代党的治疆方略，深入学习贯彻习近平总书记关于审计工作的重要论述，认真贯彻落实自治区党委十届历次全会精神、全国审计工作会议精神，围绕高质量发展这一首要任务，坚持稳中求进工作总基调，以统筹实现“查病、治已病、防未病”三项职能为工作目标，以“重点审计、督导检查、新自查”三种方式履职尽责，充分发挥审计在推进党的自我革命中的独特作用，促进正风、肃纪、反腐，以有力有效的审计监督服务保障自治区工作大局。深入贯彻落实习近平总书记关于审计工作“六个聚焦”的重要要求，紧紧围绕自治区党委十届十次全会确定的12个方面重点工作制定年度审计计划，不断拓展审计监督的广度和深度，促进审计全覆盖，切实做到如影随形。评价认为该项目年度计划方案完整，立项清晰，项目依据文件齐全，申报材料审批完整。根据评分标准，该指标得分10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项目过程指标从项目资金管理情况、组织实施2个方面对项目的管理情况进行评价。项目过程指标分值20分，实际得分20分，得分率为100%。项目过程指标得分情况如表所示。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项目过程指标得分情况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A.资金管理</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B.组织实施</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20</w:t>
      </w:r>
      <w:r>
        <w:rPr>
          <w:rStyle w:val="17"/>
          <w:rFonts w:hint="eastAsia" w:ascii="楷体" w:hAnsi="楷体" w:eastAsia="楷体"/>
          <w:spacing w:val="-4"/>
          <w:sz w:val="32"/>
          <w:szCs w:val="32"/>
        </w:rPr>
        <w:tab/>
      </w:r>
      <w:r>
        <w:rPr>
          <w:rStyle w:val="17"/>
          <w:rFonts w:hint="eastAsia" w:ascii="楷体" w:hAnsi="楷体" w:eastAsia="楷体"/>
          <w:spacing w:val="-4"/>
          <w:sz w:val="32"/>
          <w:szCs w:val="32"/>
        </w:rPr>
        <w:t>90%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20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对于资金管理方面，审计业务经费项目2023年列入财政资金预算，资金到位及时，到位率为100%，资金使用合法、合规。根据评分标准，该指标不扣分。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对于组织实施方面，审计厅管理制度健全，分工明确，制度执行不存在不相容岗位兼任情况。根据评分标准，该指标不扣分。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 xml:space="preserve">项目绩效主要从项目产出的产出数量、产出质量2个方面对项目的绩效情况进行评价。项目产出类指标分值40分，实际得分40分，得分率为40%。项目绩效指标得分情况如表所示。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项目决策指标得分情况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二级指标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三级指标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产出数量</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被审计单位数量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72%</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提交各类审计报告和信息简报数量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政府购买服务数量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信息化建设基础设施运维</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被审计单位对审计建议采纳比例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系统故障率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5  100%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 </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系统故障修复处理时间 </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ab/>
      </w:r>
      <w:r>
        <w:rPr>
          <w:rStyle w:val="17"/>
          <w:rFonts w:hint="eastAsia" w:ascii="楷体" w:hAnsi="楷体" w:eastAsia="楷体"/>
          <w:spacing w:val="-4"/>
          <w:sz w:val="32"/>
          <w:szCs w:val="32"/>
        </w:rPr>
        <w:t>系统运行维护响应时间</w:t>
      </w:r>
      <w:r>
        <w:rPr>
          <w:rStyle w:val="17"/>
          <w:rFonts w:hint="eastAsia" w:ascii="楷体" w:hAnsi="楷体" w:eastAsia="楷体"/>
          <w:spacing w:val="-4"/>
          <w:sz w:val="32"/>
          <w:szCs w:val="32"/>
        </w:rPr>
        <w:tab/>
      </w:r>
      <w:r>
        <w:rPr>
          <w:rStyle w:val="17"/>
          <w:rFonts w:hint="eastAsia" w:ascii="楷体" w:hAnsi="楷体" w:eastAsia="楷体"/>
          <w:spacing w:val="-4"/>
          <w:sz w:val="32"/>
          <w:szCs w:val="32"/>
        </w:rPr>
        <w:t>5</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5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40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 40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科学制定年度审计项目90个，截至2023年12月底，完成审计项目90个；项目完成指标达标，根据评分标准，该指标40分。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根据年初设定的“产出质量”指标，2023年审计厅改变传统按照审计类型编制项目计划的方式，紧紧围绕自治区党委十届五次全会明确的15个方面重点任务，聚焦10个方面编制审计项目计划顺利通过自治区党委审计委员会审议，截至目前，90个审计项目已全部实施，共查出问题金额392.58亿元，通过上缴财政、督促拨付、归还渠道等整改金额120.71亿元，向纪检监察机关等移送事项39件。一是聚焦国家安全及稳定，结合2022年以来自治区调整后的各项维稳措施落实、政法队伍整顿发现问题整改，对6个公检法系统部门开展审计，推动法治新疆建设。对3个部门开展网络安全和信息化审计，促进信息化建设和管理。二是聚焦意识形态工作，首次开展文化润疆审计，揭示文物和文化遗产保护利用等工作存在的突出问题，推动完善制度36项，为更好发挥文化“支点”作用建言献策。开展新疆译制大厦审计，推动项目建成投运以更好实现民族译制资源整合和优化配置。三是聚焦八大产业集群建设，矿产方面，组织开展矿产资源开发利用、新疆地矿集团审计，主要发现了因政策激励机制不健全、配套措施不匹配等导致矿产勘探滞后等问题，有序推进探矿权补办、矿产资源配置。对3个地州开展纺织服装产业审计，重点关注扶持政策衔接、资金管理使用等情况。立足新疆战略定位开展全区耕地保护及粮食种植审计，深入揭示影响耕地保护目标完成、阻碍高标准农田项目落地等问题，守护粮食安全。在创新驱动发展审计中揭示区域创新体系不完善、创新平台发展滞后等问题。四是聚焦丝绸之路经济带核心区建设，开展乌鲁木齐国际陆港区投资建设运营审计，揭示管理机制缺陷、要素不匹配等问题，有关专题报告获自治区党委主要领导批示。结合主题教育专项整治，开展优化营商环境审计，督促清退清偿各类保证金和拖欠款1800万元。开展全区政府性融资担保公司审计，重点关注“支小支微支农”政策落实、风险管控等，防范系统性金融风险。五是聚焦基础设施建设，贯彻落实历次全国对口援疆工作会议精神，连续14年开展援疆资金和项目审计，推动党的惠疆爱民政策落地见效。国外贷援款方面，对全区2013年以来已完工的23个国外贷援款项目进行审计，有关部门通过资产转固、调整账目等整改46.6亿元，规范外资合理有效利用。开展政府专项债审计，督促有关部门地方加快项目实施、规范资金管理等整改10亿多元。开展塔城重点开发开放试验区审计，推动建设提速。六是聚焦节水蓄水调水，对水资源集约节约利用开展区地县三级“穿透式”审计，严肃查处落实最严格水资源制度不到位等突出问题，同时对艾比湖流域生态环境保护工程开展审计，促进优化水资源配置，推进水资源调蓄能力建设。七是聚焦污染防治，组织对12个区县开展领导干部自然资源资产离任审计，重点揭示大气、水和土壤污染防治管控不到位等问题，推广评价指标体系应用，更好评估领导干部生态文明建设责任制落实，为选拔任用干部提供参考。八是聚焦改善民生，践行以人民为中心的发展思想，组织开展困难群众救助、就业、乡村振兴、医疗、公共卫生等民生项目和资金审计，严肃查处骗取套取挤占挪用“救命钱”“救急钱”等侵害群众切身利益的问题，督促拨付资金、归还套取或挤占资金、兑现本金收益等1.4亿多元，推动各项惠民富民利民政策落实。九是聚焦治理体系和治理能力现代化，组织开展自治区本级预算执行、政府投资、部门预算执行审计，配合统计造假专项整治，严肃查处虚增财政收入、财经数据造假等严重扰乱财经秩序、违反财经纪律的问题，通过上缴、清收等整改资金6亿多元，推动财政体制改革、重大项目有序实施。首次对8家国企开展“巡审联动”，严肃查处重大决策失误造成国有资产损失、偏离主业、“靠企吃企”等问题，审计中向巡视组移交问题200余条，审计成果多次获自治区领导充分肯定。对自治区联社及所辖5个县市行社开展审计，重点关注救助金置换贷款、下迁风险贷款等，结合不同管理层级提出审计建议，助力防范化解金融风险。十是聚焦全面从严治党，组织开展部门单位、企业、高校、县市主要领导干部经责审计，国企对外借款监管缺失、就业资金政策落实不到位等研究成果被自治区采用。配合完成违反客观规律大干快上专项整治。首次对2个地州审计整改情况进行审计，进一步压实审计整改责任。设定的绩效目标数量、质量指标均已完成。根据评分标准，该指标不扣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 xml:space="preserve">项目效益主要从项目实施效益、可持续影响2个方面对项目的绩效情况进行评价。项目绩效类指标分值20分，实际得分20分，得分率为100%。项目绩效指标得分情况如表所示。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项目效益指标得分情况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一级指标</w:t>
      </w:r>
      <w:r>
        <w:rPr>
          <w:rStyle w:val="17"/>
          <w:rFonts w:hint="eastAsia" w:ascii="楷体" w:hAnsi="楷体" w:eastAsia="楷体"/>
          <w:spacing w:val="-4"/>
          <w:sz w:val="32"/>
          <w:szCs w:val="32"/>
        </w:rPr>
        <w:tab/>
      </w:r>
      <w:r>
        <w:rPr>
          <w:rStyle w:val="17"/>
          <w:rFonts w:hint="eastAsia" w:ascii="楷体" w:hAnsi="楷体" w:eastAsia="楷体"/>
          <w:spacing w:val="-4"/>
          <w:sz w:val="32"/>
          <w:szCs w:val="32"/>
        </w:rPr>
        <w:t>权重</w:t>
      </w:r>
      <w:r>
        <w:rPr>
          <w:rStyle w:val="17"/>
          <w:rFonts w:hint="eastAsia" w:ascii="楷体" w:hAnsi="楷体" w:eastAsia="楷体"/>
          <w:spacing w:val="-4"/>
          <w:sz w:val="32"/>
          <w:szCs w:val="32"/>
        </w:rPr>
        <w:tab/>
      </w:r>
      <w:r>
        <w:rPr>
          <w:rStyle w:val="17"/>
          <w:rFonts w:hint="eastAsia" w:ascii="楷体" w:hAnsi="楷体" w:eastAsia="楷体"/>
          <w:spacing w:val="-4"/>
          <w:sz w:val="32"/>
          <w:szCs w:val="32"/>
        </w:rPr>
        <w:t>得分率</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实际得分   </w:t>
      </w:r>
      <w:r>
        <w:rPr>
          <w:rStyle w:val="17"/>
          <w:rFonts w:hint="eastAsia" w:ascii="楷体" w:hAnsi="楷体" w:eastAsia="楷体"/>
          <w:spacing w:val="-4"/>
          <w:sz w:val="32"/>
          <w:szCs w:val="32"/>
        </w:rPr>
        <w:br/>
      </w:r>
      <w:r>
        <w:rPr>
          <w:rStyle w:val="17"/>
          <w:rFonts w:hint="eastAsia" w:ascii="楷体" w:hAnsi="楷体" w:eastAsia="楷体"/>
          <w:spacing w:val="-4"/>
          <w:sz w:val="32"/>
          <w:szCs w:val="32"/>
        </w:rPr>
        <w:t>A.社会效益</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B.满意度</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10   </w:t>
      </w:r>
      <w:r>
        <w:rPr>
          <w:rStyle w:val="17"/>
          <w:rFonts w:hint="eastAsia" w:ascii="楷体" w:hAnsi="楷体" w:eastAsia="楷体"/>
          <w:spacing w:val="-4"/>
          <w:sz w:val="32"/>
          <w:szCs w:val="32"/>
        </w:rPr>
        <w:br/>
      </w:r>
      <w:r>
        <w:rPr>
          <w:rStyle w:val="17"/>
          <w:rFonts w:hint="eastAsia" w:ascii="楷体" w:hAnsi="楷体" w:eastAsia="楷体"/>
          <w:spacing w:val="-4"/>
          <w:sz w:val="32"/>
          <w:szCs w:val="32"/>
        </w:rPr>
        <w:t>合  计</w:t>
      </w:r>
      <w:r>
        <w:rPr>
          <w:rStyle w:val="17"/>
          <w:rFonts w:hint="eastAsia" w:ascii="楷体" w:hAnsi="楷体" w:eastAsia="楷体"/>
          <w:spacing w:val="-4"/>
          <w:sz w:val="32"/>
          <w:szCs w:val="32"/>
        </w:rPr>
        <w:tab/>
      </w:r>
      <w:r>
        <w:rPr>
          <w:rStyle w:val="17"/>
          <w:rFonts w:hint="eastAsia" w:ascii="楷体" w:hAnsi="楷体" w:eastAsia="楷体"/>
          <w:spacing w:val="-4"/>
          <w:sz w:val="32"/>
          <w:szCs w:val="32"/>
        </w:rPr>
        <w:t>20</w:t>
      </w:r>
      <w:r>
        <w:rPr>
          <w:rStyle w:val="17"/>
          <w:rFonts w:hint="eastAsia" w:ascii="楷体" w:hAnsi="楷体" w:eastAsia="楷体"/>
          <w:spacing w:val="-4"/>
          <w:sz w:val="32"/>
          <w:szCs w:val="32"/>
        </w:rPr>
        <w:tab/>
      </w:r>
      <w:r>
        <w:rPr>
          <w:rStyle w:val="17"/>
          <w:rFonts w:hint="eastAsia" w:ascii="楷体" w:hAnsi="楷体" w:eastAsia="楷体"/>
          <w:spacing w:val="-4"/>
          <w:sz w:val="32"/>
          <w:szCs w:val="32"/>
        </w:rPr>
        <w:t>100%</w:t>
      </w:r>
      <w:r>
        <w:rPr>
          <w:rStyle w:val="17"/>
          <w:rFonts w:hint="eastAsia" w:ascii="楷体" w:hAnsi="楷体" w:eastAsia="楷体"/>
          <w:spacing w:val="-4"/>
          <w:sz w:val="32"/>
          <w:szCs w:val="32"/>
        </w:rPr>
        <w:tab/>
      </w:r>
      <w:r>
        <w:rPr>
          <w:rStyle w:val="17"/>
          <w:rFonts w:hint="eastAsia" w:ascii="楷体" w:hAnsi="楷体" w:eastAsia="楷体"/>
          <w:spacing w:val="-4"/>
          <w:sz w:val="32"/>
          <w:szCs w:val="32"/>
        </w:rPr>
        <w:t xml:space="preserve">20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项目实施的效益分析。审计厅以审计法明确的处理建议权为抓手，将严肃追责问责作为发挥审计震慑作用的关键性一招，在实践中创新运用“513”工作法产生“涟漪效应”。“治已病”方面，被审计单位自觉革命，主动整改的积极性显著增强，自治区级预算执行审计报告反映的594个问题整改期内已整改412个。“防未病”方面，依规依纪依法提出追责问责建议，形成震慑如影随形，促使被审计单位严守财经法纪避免“重蹈覆辙”。此外，对未安排审计的单位也有很大触动，相关单位“闻风而动”，35家部门单位83名领导特别是“一把手”主动学习交流，有的举一反三开展自查，有力促进自我革命。审计成果方面，今年以来的信息专报实现了质的转变，领导批示数量大幅增加。 </w:t>
      </w:r>
      <w:r>
        <w:rPr>
          <w:rStyle w:val="17"/>
          <w:rFonts w:hint="eastAsia" w:ascii="楷体" w:hAnsi="楷体" w:eastAsia="楷体"/>
          <w:spacing w:val="-4"/>
          <w:sz w:val="32"/>
          <w:szCs w:val="32"/>
        </w:rPr>
        <w:br/>
      </w:r>
      <w:r>
        <w:rPr>
          <w:rStyle w:val="17"/>
          <w:rFonts w:hint="eastAsia" w:ascii="楷体" w:hAnsi="楷体" w:eastAsia="楷体"/>
          <w:spacing w:val="-4"/>
          <w:sz w:val="32"/>
          <w:szCs w:val="32"/>
        </w:rPr>
        <w:t>完成了设定的绩效目标和效益指标。充分表明审计厅切实发挥了审计“治已病、防未病”的建设性作用。</w:t>
      </w:r>
    </w:p>
    <w:p>
      <w:pPr>
        <w:spacing w:line="540" w:lineRule="exact"/>
        <w:ind w:firstLine="567"/>
        <w:rPr>
          <w:rStyle w:val="17"/>
          <w:rFonts w:hint="eastAsia" w:ascii="楷体" w:hAnsi="楷体" w:eastAsia="楷体"/>
          <w:spacing w:val="-4"/>
          <w:sz w:val="32"/>
          <w:szCs w:val="32"/>
        </w:rPr>
      </w:pPr>
      <w:r>
        <w:rPr>
          <w:rStyle w:val="17"/>
          <w:rFonts w:hint="eastAsia" w:ascii="楷体" w:hAnsi="楷体" w:eastAsia="楷体"/>
          <w:spacing w:val="-4"/>
          <w:sz w:val="32"/>
          <w:szCs w:val="32"/>
        </w:rPr>
        <w:t>一年来，自治区审计工作得到自治区党委、自治区人民政府、自治区人大以及被审计单位的充分肯定，设定的绩效指标完成率均为100%。坚持开门审计。走群众路线，借鉴司法实践中“谁主张谁举证”原则，自觉把审计过程和审计结论放在放大镜下，谦虚谨慎、耐心细致听取被审计单位及当事人意见建议，充分征求意见并接受质疑，使审计与被审计双方，在问题事实、定性、责任人、问责条例、问责建议等5个环节，形成相对一致的看法，特别是在确定责任人、提出追责问责建议时充分沟通，尊重本人权益，取得较好效果。一方面促进被审计单位立行立改，另一方面也有助于更好查清问题事实，增强审计干部沟通能力和业务水平。</w:t>
      </w:r>
    </w:p>
    <w:p>
      <w:pPr>
        <w:spacing w:line="540" w:lineRule="exact"/>
        <w:ind w:firstLine="640"/>
        <w:rPr>
          <w:rStyle w:val="17"/>
          <w:rFonts w:ascii="黑体" w:hAnsi="黑体" w:eastAsia="黑体"/>
          <w:spacing w:val="-4"/>
          <w:sz w:val="32"/>
          <w:szCs w:val="32"/>
        </w:rPr>
      </w:pPr>
      <w:r>
        <w:rPr>
          <w:rStyle w:val="17"/>
          <w:rFonts w:hint="eastAsia" w:ascii="黑体" w:hAnsi="黑体" w:eastAsia="黑体"/>
          <w:b w:val="0"/>
          <w:spacing w:val="-4"/>
          <w:sz w:val="32"/>
          <w:szCs w:val="32"/>
          <w:lang w:eastAsia="zh-CN"/>
        </w:rPr>
        <w:t>五</w:t>
      </w:r>
      <w:r>
        <w:rPr>
          <w:rStyle w:val="17"/>
          <w:rFonts w:hint="eastAsia" w:ascii="黑体" w:hAnsi="黑体" w:eastAsia="黑体"/>
          <w:b w:val="0"/>
          <w:spacing w:val="-4"/>
          <w:sz w:val="32"/>
          <w:szCs w:val="32"/>
        </w:rPr>
        <w:t>、</w:t>
      </w:r>
      <w:r>
        <w:rPr>
          <w:rStyle w:val="17"/>
          <w:rFonts w:ascii="黑体" w:hAnsi="黑体" w:eastAsia="黑体"/>
          <w:b w:val="0"/>
          <w:spacing w:val="-4"/>
          <w:sz w:val="32"/>
          <w:szCs w:val="32"/>
        </w:rPr>
        <w:t>主要经验及做法、存在的问题及原因分析</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 xml:space="preserve">开展全面实施预算绩效管理工作以来，自治区审计厅解决了“有没有”和“会不会”的问题，但距离自治区关于全面实施预算绩效管理的工作要求，还存在一些不足和差距。一是科学合理设定绩效指标的水平有待提高。主要表现在数量指标、经济效益指标的设定较为保守，预期指标与实际完成指标值存在一定的偏差；二是存在指标分类不准确的现象。主要表现在数量指标与效益指标的界定不清晰，将应纳入效益指标的事项列入数量指标进行考核；三是全面实施预算绩效管理的制度建设有待加强。虽然按照要求开展了全面实施预算绩效管理的工作，但绩效管理制度有待进一步完善，绩效评价的机制不够健全。存在的问题及原因分析：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1.预算绩效管理水平仍有欠缺。在2023年预算绩效管理工作中，存在“重投入轻管理、重支出轻绩效”的情况，对全面实施预算绩效管理的要求认识还不到位，项目申报、实施等环节与预算绩效管理各个环节联系不够紧密；同时预算绩效管理也是一项新工作，存在专业人手不足、绩效管理水平欠缺的情况。各处室及所属事业单位对绩效评价工作重视度和质量有待进一步提升。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2.项目绩效目标及绩效指标设置过于笼统，不够细化，在实际实施绩效监控和绩效评价时较为困难。绩效目标的设置应符合量化、细化的要求。    </w:t>
      </w:r>
      <w:r>
        <w:rPr>
          <w:rStyle w:val="17"/>
          <w:rFonts w:hint="eastAsia" w:ascii="楷体" w:hAnsi="楷体" w:eastAsia="楷体"/>
          <w:spacing w:val="-4"/>
          <w:sz w:val="32"/>
          <w:szCs w:val="32"/>
        </w:rPr>
        <w:br/>
      </w:r>
      <w:r>
        <w:rPr>
          <w:rStyle w:val="17"/>
          <w:rFonts w:hint="eastAsia" w:ascii="楷体" w:hAnsi="楷体" w:eastAsia="楷体"/>
          <w:spacing w:val="-4"/>
          <w:sz w:val="32"/>
          <w:szCs w:val="32"/>
        </w:rPr>
        <w:t>3.项目支出进度达不到序时支出进度的要求，在预算执行过程中仍存在专项资金使用与管理偏差滞后因素，绩效监控缺乏责任约束机制。</w:t>
      </w:r>
    </w:p>
    <w:p>
      <w:pPr>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六</w:t>
      </w:r>
      <w:r>
        <w:rPr>
          <w:rStyle w:val="17"/>
          <w:rFonts w:ascii="黑体" w:hAnsi="黑体" w:eastAsia="黑体"/>
          <w:b w:val="0"/>
          <w:spacing w:val="-4"/>
          <w:sz w:val="32"/>
          <w:szCs w:val="32"/>
        </w:rPr>
        <w:t>、有关建议</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 xml:space="preserve">一是继续加强指导和培训力度，加强对各单位绩效评价工作的指导，使预算编制更加符合绩效评价相关要求，进一步发挥各处室及所属事业单位的作用，搞好部门间工作配合，继续开展不间断的督导指导服务，推进工作落实。   </w:t>
      </w:r>
      <w:r>
        <w:rPr>
          <w:rStyle w:val="17"/>
          <w:rFonts w:hint="eastAsia" w:ascii="楷体" w:hAnsi="楷体" w:eastAsia="楷体"/>
          <w:spacing w:val="-4"/>
          <w:sz w:val="32"/>
          <w:szCs w:val="32"/>
        </w:rPr>
        <w:br/>
      </w:r>
      <w:r>
        <w:rPr>
          <w:rStyle w:val="17"/>
          <w:rFonts w:hint="eastAsia" w:ascii="楷体" w:hAnsi="楷体" w:eastAsia="楷体"/>
          <w:spacing w:val="-4"/>
          <w:sz w:val="32"/>
          <w:szCs w:val="32"/>
        </w:rPr>
        <w:t xml:space="preserve">二是强化项目监督管理，充分发挥项目主管部门的监督管理作用，把好项目执行、进度、质量关，加强督促检查，实施全程监管。   </w:t>
      </w:r>
      <w:r>
        <w:rPr>
          <w:rStyle w:val="17"/>
          <w:rFonts w:hint="eastAsia" w:ascii="楷体" w:hAnsi="楷体" w:eastAsia="楷体"/>
          <w:spacing w:val="-4"/>
          <w:sz w:val="32"/>
          <w:szCs w:val="32"/>
        </w:rPr>
        <w:br/>
      </w:r>
      <w:r>
        <w:rPr>
          <w:rStyle w:val="17"/>
          <w:rFonts w:hint="eastAsia" w:ascii="楷体" w:hAnsi="楷体" w:eastAsia="楷体"/>
          <w:spacing w:val="-4"/>
          <w:sz w:val="32"/>
          <w:szCs w:val="32"/>
        </w:rPr>
        <w:t>三是科学的预算编制应该保证预算和目标在质和量上相匹配，即一方面预算应该根据目标来编制，保证每一个目标的实现均有相应的预算安排，另一方面应在合理测算工作量的基础上保证预算编制的准确性。</w:t>
      </w:r>
    </w:p>
    <w:p>
      <w:pPr>
        <w:spacing w:line="540" w:lineRule="exact"/>
        <w:ind w:firstLine="567"/>
        <w:rPr>
          <w:rStyle w:val="17"/>
          <w:rFonts w:ascii="黑体" w:hAnsi="黑体" w:eastAsia="黑体"/>
          <w:b w:val="0"/>
          <w:spacing w:val="-4"/>
          <w:sz w:val="32"/>
          <w:szCs w:val="32"/>
        </w:rPr>
      </w:pPr>
      <w:r>
        <w:rPr>
          <w:rStyle w:val="17"/>
          <w:rFonts w:hint="eastAsia" w:ascii="黑体" w:hAnsi="黑体" w:eastAsia="黑体"/>
          <w:b w:val="0"/>
          <w:spacing w:val="-4"/>
          <w:sz w:val="32"/>
          <w:szCs w:val="32"/>
          <w:lang w:eastAsia="zh-CN"/>
        </w:rPr>
        <w:t>七</w:t>
      </w:r>
      <w:r>
        <w:rPr>
          <w:rStyle w:val="17"/>
          <w:rFonts w:hint="eastAsia" w:ascii="黑体" w:hAnsi="黑体" w:eastAsia="黑体"/>
          <w:b w:val="0"/>
          <w:spacing w:val="-4"/>
          <w:sz w:val="32"/>
          <w:szCs w:val="32"/>
        </w:rPr>
        <w:t>、其他需要说明的问题</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无其他需要说明的问题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rPr>
        <w:lang w:val="zh-CN"/>
      </w:rPr>
      <w:t>1</w:t>
    </w:r>
    <w: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7C7D7FA1"/>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6"/>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7"/>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8"/>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9"/>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30"/>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1"/>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2"/>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3"/>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Style w:val="19"/>
      <w:tblLayout w:type="fixed"/>
      <w:tblCellMar>
        <w:top w:w="0" w:type="dxa"/>
        <w:left w:w="108" w:type="dxa"/>
        <w:bottom w:w="0" w:type="dxa"/>
        <w:right w:w="108" w:type="dxa"/>
      </w:tblCellMar>
    </w:tblPr>
    <w:tcPr>
      <w:textDirection w:val="lrTb"/>
    </w:tc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5"/>
    <w:qFormat/>
    <w:uiPriority w:val="11"/>
    <w:pPr>
      <w:widowControl/>
      <w:spacing w:after="60"/>
      <w:jc w:val="center"/>
      <w:outlineLvl w:val="1"/>
    </w:pPr>
    <w:rPr>
      <w:rFonts w:ascii="Cambria" w:hAnsi="Cambria" w:eastAsia="宋体"/>
      <w:kern w:val="0"/>
      <w:sz w:val="24"/>
    </w:rPr>
  </w:style>
  <w:style w:type="paragraph" w:styleId="15">
    <w:name w:val="Title"/>
    <w:basedOn w:val="1"/>
    <w:next w:val="1"/>
    <w:link w:val="34"/>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20">
    <w:name w:val="No Spacing"/>
    <w:basedOn w:val="1"/>
    <w:qFormat/>
    <w:uiPriority w:val="1"/>
    <w:pPr>
      <w:widowControl/>
      <w:jc w:val="left"/>
    </w:pPr>
    <w:rPr>
      <w:rFonts w:ascii="Calibri" w:hAnsi="Calibri" w:eastAsia="宋体"/>
      <w:kern w:val="0"/>
      <w:sz w:val="24"/>
      <w:szCs w:val="32"/>
      <w:lang w:eastAsia="en-US" w:bidi="en-US"/>
    </w:rPr>
  </w:style>
  <w:style w:type="paragraph" w:customStyle="1" w:styleId="21">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2">
    <w:name w:val="Quote"/>
    <w:basedOn w:val="1"/>
    <w:next w:val="1"/>
    <w:link w:val="36"/>
    <w:qFormat/>
    <w:uiPriority w:val="29"/>
    <w:pPr>
      <w:widowControl/>
      <w:jc w:val="left"/>
    </w:pPr>
    <w:rPr>
      <w:rFonts w:ascii="Calibri" w:hAnsi="Calibri" w:eastAsia="宋体"/>
      <w:i/>
      <w:kern w:val="0"/>
      <w:sz w:val="24"/>
    </w:rPr>
  </w:style>
  <w:style w:type="paragraph" w:customStyle="1" w:styleId="23">
    <w:name w:val="Intense Quote"/>
    <w:basedOn w:val="1"/>
    <w:next w:val="1"/>
    <w:link w:val="37"/>
    <w:qFormat/>
    <w:uiPriority w:val="30"/>
    <w:pPr>
      <w:widowControl/>
      <w:ind w:left="720" w:right="720"/>
      <w:jc w:val="left"/>
    </w:pPr>
    <w:rPr>
      <w:rFonts w:ascii="Calibri" w:hAnsi="Calibri" w:eastAsia="宋体"/>
      <w:b/>
      <w:i/>
      <w:kern w:val="0"/>
      <w:sz w:val="24"/>
      <w:szCs w:val="22"/>
    </w:rPr>
  </w:style>
  <w:style w:type="paragraph" w:customStyle="1" w:styleId="24">
    <w:name w:val="TOC 标题1"/>
    <w:basedOn w:val="2"/>
    <w:next w:val="1"/>
    <w:unhideWhenUsed/>
    <w:qFormat/>
    <w:uiPriority w:val="39"/>
    <w:pPr>
      <w:outlineLvl w:val="9"/>
    </w:pPr>
    <w:rPr>
      <w:lang w:eastAsia="en-US" w:bidi="en-US"/>
    </w:rPr>
  </w:style>
  <w:style w:type="character" w:customStyle="1" w:styleId="25">
    <w:name w:val="标题 1 字符"/>
    <w:basedOn w:val="16"/>
    <w:link w:val="2"/>
    <w:qFormat/>
    <w:uiPriority w:val="9"/>
    <w:rPr>
      <w:rFonts w:ascii="Cambria" w:hAnsi="Cambria" w:eastAsia="宋体"/>
      <w:b/>
      <w:bCs/>
      <w:kern w:val="32"/>
      <w:sz w:val="32"/>
      <w:szCs w:val="32"/>
    </w:rPr>
  </w:style>
  <w:style w:type="character" w:customStyle="1" w:styleId="26">
    <w:name w:val="标题 2 字符"/>
    <w:basedOn w:val="16"/>
    <w:link w:val="3"/>
    <w:semiHidden/>
    <w:qFormat/>
    <w:uiPriority w:val="9"/>
    <w:rPr>
      <w:rFonts w:ascii="Cambria" w:hAnsi="Cambria" w:eastAsia="宋体"/>
      <w:b/>
      <w:bCs/>
      <w:i/>
      <w:iCs/>
      <w:sz w:val="28"/>
      <w:szCs w:val="28"/>
    </w:rPr>
  </w:style>
  <w:style w:type="character" w:customStyle="1" w:styleId="27">
    <w:name w:val="标题 3 字符"/>
    <w:basedOn w:val="16"/>
    <w:link w:val="4"/>
    <w:semiHidden/>
    <w:qFormat/>
    <w:uiPriority w:val="9"/>
    <w:rPr>
      <w:rFonts w:ascii="Cambria" w:hAnsi="Cambria" w:eastAsia="宋体"/>
      <w:b/>
      <w:bCs/>
      <w:sz w:val="26"/>
      <w:szCs w:val="26"/>
    </w:rPr>
  </w:style>
  <w:style w:type="character" w:customStyle="1" w:styleId="28">
    <w:name w:val="标题 4 字符"/>
    <w:basedOn w:val="16"/>
    <w:link w:val="5"/>
    <w:qFormat/>
    <w:uiPriority w:val="9"/>
    <w:rPr>
      <w:b/>
      <w:bCs/>
      <w:sz w:val="28"/>
      <w:szCs w:val="28"/>
    </w:rPr>
  </w:style>
  <w:style w:type="character" w:customStyle="1" w:styleId="29">
    <w:name w:val="标题 5 字符"/>
    <w:basedOn w:val="16"/>
    <w:link w:val="6"/>
    <w:semiHidden/>
    <w:qFormat/>
    <w:uiPriority w:val="9"/>
    <w:rPr>
      <w:b/>
      <w:bCs/>
      <w:i/>
      <w:iCs/>
      <w:sz w:val="26"/>
      <w:szCs w:val="26"/>
    </w:rPr>
  </w:style>
  <w:style w:type="character" w:customStyle="1" w:styleId="30">
    <w:name w:val="标题 6 字符"/>
    <w:basedOn w:val="16"/>
    <w:link w:val="7"/>
    <w:semiHidden/>
    <w:qFormat/>
    <w:uiPriority w:val="9"/>
    <w:rPr>
      <w:b/>
      <w:bCs/>
    </w:rPr>
  </w:style>
  <w:style w:type="character" w:customStyle="1" w:styleId="31">
    <w:name w:val="标题 7 字符"/>
    <w:basedOn w:val="16"/>
    <w:link w:val="8"/>
    <w:semiHidden/>
    <w:qFormat/>
    <w:uiPriority w:val="9"/>
    <w:rPr>
      <w:sz w:val="24"/>
      <w:szCs w:val="24"/>
    </w:rPr>
  </w:style>
  <w:style w:type="character" w:customStyle="1" w:styleId="32">
    <w:name w:val="标题 8 字符"/>
    <w:basedOn w:val="16"/>
    <w:link w:val="9"/>
    <w:semiHidden/>
    <w:qFormat/>
    <w:uiPriority w:val="9"/>
    <w:rPr>
      <w:i/>
      <w:iCs/>
      <w:sz w:val="24"/>
      <w:szCs w:val="24"/>
    </w:rPr>
  </w:style>
  <w:style w:type="character" w:customStyle="1" w:styleId="33">
    <w:name w:val="标题 9 字符"/>
    <w:basedOn w:val="16"/>
    <w:link w:val="10"/>
    <w:semiHidden/>
    <w:qFormat/>
    <w:uiPriority w:val="9"/>
    <w:rPr>
      <w:rFonts w:ascii="Cambria" w:hAnsi="Cambria" w:eastAsia="宋体"/>
    </w:rPr>
  </w:style>
  <w:style w:type="character" w:customStyle="1" w:styleId="34">
    <w:name w:val="标题 字符"/>
    <w:basedOn w:val="16"/>
    <w:link w:val="15"/>
    <w:qFormat/>
    <w:uiPriority w:val="10"/>
    <w:rPr>
      <w:rFonts w:ascii="Cambria" w:hAnsi="Cambria" w:eastAsia="宋体"/>
      <w:b/>
      <w:bCs/>
      <w:kern w:val="28"/>
      <w:sz w:val="32"/>
      <w:szCs w:val="32"/>
    </w:rPr>
  </w:style>
  <w:style w:type="character" w:customStyle="1" w:styleId="35">
    <w:name w:val="副标题 字符"/>
    <w:basedOn w:val="16"/>
    <w:link w:val="14"/>
    <w:qFormat/>
    <w:uiPriority w:val="11"/>
    <w:rPr>
      <w:rFonts w:ascii="Cambria" w:hAnsi="Cambria" w:eastAsia="宋体"/>
      <w:sz w:val="24"/>
      <w:szCs w:val="24"/>
    </w:rPr>
  </w:style>
  <w:style w:type="character" w:customStyle="1" w:styleId="36">
    <w:name w:val="引用 字符"/>
    <w:basedOn w:val="16"/>
    <w:link w:val="22"/>
    <w:qFormat/>
    <w:uiPriority w:val="29"/>
    <w:rPr>
      <w:i/>
      <w:sz w:val="24"/>
      <w:szCs w:val="24"/>
    </w:rPr>
  </w:style>
  <w:style w:type="character" w:customStyle="1" w:styleId="37">
    <w:name w:val="明显引用 字符"/>
    <w:basedOn w:val="16"/>
    <w:link w:val="23"/>
    <w:qFormat/>
    <w:uiPriority w:val="30"/>
    <w:rPr>
      <w:b/>
      <w:i/>
      <w:sz w:val="24"/>
    </w:rPr>
  </w:style>
  <w:style w:type="character" w:customStyle="1" w:styleId="38">
    <w:name w:val="不明显强调1"/>
    <w:qFormat/>
    <w:uiPriority w:val="19"/>
    <w:rPr>
      <w:i/>
      <w:color w:val="565656"/>
    </w:rPr>
  </w:style>
  <w:style w:type="character" w:customStyle="1" w:styleId="39">
    <w:name w:val="明显强调1"/>
    <w:basedOn w:val="16"/>
    <w:qFormat/>
    <w:uiPriority w:val="21"/>
    <w:rPr>
      <w:b/>
      <w:i/>
      <w:sz w:val="24"/>
      <w:szCs w:val="24"/>
      <w:u w:val="single"/>
    </w:rPr>
  </w:style>
  <w:style w:type="character" w:customStyle="1" w:styleId="40">
    <w:name w:val="不明显参考1"/>
    <w:basedOn w:val="16"/>
    <w:qFormat/>
    <w:uiPriority w:val="31"/>
    <w:rPr>
      <w:sz w:val="24"/>
      <w:szCs w:val="24"/>
      <w:u w:val="single"/>
    </w:rPr>
  </w:style>
  <w:style w:type="character" w:customStyle="1" w:styleId="41">
    <w:name w:val="明显参考1"/>
    <w:basedOn w:val="16"/>
    <w:qFormat/>
    <w:uiPriority w:val="32"/>
    <w:rPr>
      <w:b/>
      <w:sz w:val="24"/>
      <w:u w:val="single"/>
    </w:rPr>
  </w:style>
  <w:style w:type="character" w:customStyle="1" w:styleId="42">
    <w:name w:val="书籍标题1"/>
    <w:basedOn w:val="16"/>
    <w:qFormat/>
    <w:uiPriority w:val="33"/>
    <w:rPr>
      <w:rFonts w:ascii="Cambria" w:hAnsi="Cambria" w:eastAsia="宋体"/>
      <w:b/>
      <w:i/>
      <w:sz w:val="24"/>
      <w:szCs w:val="24"/>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sjt</cp:lastModifiedBy>
  <cp:lastPrinted>2018-12-31T10:56:00Z</cp:lastPrinted>
  <dcterms:modified xsi:type="dcterms:W3CDTF">2024-08-27T08:08:15Z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ICV">
    <vt:lpwstr>160D1BA1944349B08C48068401F6E698</vt:lpwstr>
  </property>
</Properties>
</file>