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textAlignment w:val="auto"/>
        <w:rPr>
          <w:rFonts w:ascii="黑体" w:hAnsi="黑体" w:eastAsia="黑体"/>
          <w:sz w:val="32"/>
          <w:szCs w:val="32"/>
          <w:highlight w:val="none"/>
        </w:rPr>
      </w:pPr>
    </w:p>
    <w:p>
      <w:pPr>
        <w:widowControl w:val="0"/>
        <w:wordWrap/>
        <w:adjustRightInd/>
        <w:snapToGrid/>
        <w:spacing w:line="240" w:lineRule="auto"/>
        <w:jc w:val="center"/>
        <w:textAlignment w:val="auto"/>
        <w:rPr>
          <w:rFonts w:hint="eastAsia" w:ascii="方正小标宋_GBK" w:hAnsi="宋体" w:eastAsia="方正小标宋_GBK"/>
          <w:sz w:val="44"/>
          <w:szCs w:val="44"/>
          <w:highlight w:val="none"/>
        </w:rPr>
      </w:pPr>
    </w:p>
    <w:p>
      <w:pPr>
        <w:widowControl w:val="0"/>
        <w:wordWrap/>
        <w:adjustRightInd/>
        <w:snapToGrid/>
        <w:spacing w:line="240" w:lineRule="auto"/>
        <w:jc w:val="center"/>
        <w:textAlignment w:val="auto"/>
        <w:rPr>
          <w:rFonts w:hint="eastAsia" w:ascii="方正小标宋_GBK" w:hAnsi="宋体" w:eastAsia="方正小标宋_GBK"/>
          <w:sz w:val="44"/>
          <w:szCs w:val="44"/>
          <w:highlight w:val="none"/>
          <w:lang w:val="en-US" w:eastAsia="zh-CN"/>
        </w:rPr>
      </w:pPr>
      <w:r>
        <w:rPr>
          <w:rFonts w:hint="eastAsia" w:ascii="方正小标宋_GBK" w:hAnsi="宋体" w:eastAsia="方正小标宋_GBK"/>
          <w:sz w:val="44"/>
          <w:szCs w:val="44"/>
          <w:highlight w:val="none"/>
          <w:lang w:val="en-US" w:eastAsia="zh-CN"/>
        </w:rPr>
        <w:t>新疆维吾尔自治区审计厅</w:t>
      </w:r>
    </w:p>
    <w:p>
      <w:pPr>
        <w:widowControl w:val="0"/>
        <w:wordWrap/>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eastAsia="zh-CN"/>
        </w:rPr>
        <w:t xml:space="preserve"> 2023年度</w:t>
      </w:r>
      <w:r>
        <w:rPr>
          <w:rFonts w:hint="eastAsia" w:ascii="方正小标宋_GBK" w:hAnsi="宋体" w:eastAsia="方正小标宋_GBK"/>
          <w:sz w:val="44"/>
          <w:szCs w:val="44"/>
          <w:highlight w:val="none"/>
        </w:rPr>
        <w:t>部门决算</w:t>
      </w:r>
    </w:p>
    <w:p>
      <w:pPr>
        <w:widowControl w:val="0"/>
        <w:wordWrap/>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br w:type="page"/>
      </w:r>
    </w:p>
    <w:p>
      <w:pPr>
        <w:widowControl w:val="0"/>
        <w:wordWrap/>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bCs w:val="0"/>
          <w:kern w:val="0"/>
          <w:sz w:val="36"/>
          <w:szCs w:val="36"/>
          <w:highlight w:val="none"/>
        </w:rPr>
        <w:t>目  录</w:t>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 xml:space="preserve">第一部分 </w:t>
      </w:r>
      <w:r>
        <w:rPr>
          <w:rFonts w:hint="eastAsia" w:ascii="仿宋_GB2312" w:hAnsi="仿宋_GB2312" w:eastAsia="仿宋_GB2312" w:cs="仿宋_GB2312"/>
          <w:b/>
          <w:bCs/>
          <w:sz w:val="32"/>
          <w:szCs w:val="32"/>
          <w:highlight w:val="none"/>
          <w:lang w:eastAsia="zh-CN"/>
        </w:rPr>
        <w:t>单位</w:t>
      </w:r>
      <w:r>
        <w:rPr>
          <w:rFonts w:hint="eastAsia" w:ascii="仿宋_GB2312" w:hAnsi="仿宋_GB2312" w:eastAsia="仿宋_GB2312" w:cs="仿宋_GB2312"/>
          <w:b/>
          <w:bCs/>
          <w:sz w:val="32"/>
          <w:szCs w:val="32"/>
          <w:highlight w:val="none"/>
        </w:rPr>
        <w:t>概况</w:t>
      </w:r>
      <w:r>
        <w:rPr>
          <w:rFonts w:hint="eastAsia" w:ascii="仿宋_GB2312" w:hAnsi="仿宋_GB2312" w:eastAsia="仿宋_GB2312" w:cs="仿宋_GB2312"/>
          <w:b/>
          <w:bCs/>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十二、其他需说明的事项</w:t>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widowControl w:val="0"/>
        <w:wordWrap/>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rPr>
          <w:rFonts w:hint="eastAsia" w:ascii="仿宋_GB2312" w:eastAsia="仿宋_GB2312"/>
          <w:sz w:val="32"/>
          <w:szCs w:val="32"/>
          <w:highlight w:val="none"/>
        </w:rPr>
      </w:pPr>
      <w:r>
        <w:rPr>
          <w:rFonts w:hint="eastAsia" w:ascii="仿宋_GB2312" w:eastAsia="仿宋_GB2312"/>
          <w:sz w:val="32"/>
          <w:szCs w:val="32"/>
          <w:highlight w:val="none"/>
        </w:rPr>
        <w:br w:type="page"/>
      </w:r>
    </w:p>
    <w:p>
      <w:pPr>
        <w:widowControl w:val="0"/>
        <w:wordWrap/>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0" w:name="_Toc32314"/>
      <w:bookmarkStart w:id="1" w:name="_Toc24028"/>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bookmarkEnd w:id="0"/>
      <w:bookmarkEnd w:id="1"/>
    </w:p>
    <w:p>
      <w:pPr>
        <w:widowControl w:val="0"/>
        <w:wordWrap/>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rPr>
          <w:rFonts w:ascii="黑体" w:hAnsi="黑体" w:eastAsia="黑体" w:cs="宋体"/>
          <w:bCs/>
          <w:kern w:val="0"/>
          <w:sz w:val="32"/>
          <w:szCs w:val="32"/>
        </w:rPr>
      </w:pPr>
      <w:bookmarkStart w:id="4" w:name="_Toc31238"/>
      <w:bookmarkStart w:id="5" w:name="_Toc2151"/>
      <w:r>
        <w:rPr>
          <w:rFonts w:hint="eastAsia" w:ascii="仿宋_GB2312" w:eastAsia="仿宋_GB2312"/>
          <w:sz w:val="32"/>
          <w:szCs w:val="32"/>
          <w:lang w:val="en-US" w:eastAsia="zh-CN"/>
        </w:rPr>
        <w:t xml:space="preserve">    </w:t>
      </w:r>
      <w:r>
        <w:rPr>
          <w:rFonts w:ascii="仿宋_GB2312" w:eastAsia="仿宋_GB2312"/>
          <w:sz w:val="32"/>
          <w:szCs w:val="32"/>
        </w:rPr>
        <w:t>（1）主管全疆审计工作。负责对全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督促被审计单位整改的责任。</w:t>
      </w:r>
      <w:r>
        <w:rPr>
          <w:rFonts w:ascii="仿宋_GB2312" w:eastAsia="仿宋_GB2312"/>
          <w:sz w:val="32"/>
          <w:szCs w:val="32"/>
        </w:rPr>
        <w:br w:type="textWrapping"/>
      </w:r>
      <w:r>
        <w:rPr>
          <w:rFonts w:ascii="仿宋_GB2312" w:eastAsia="仿宋_GB2312"/>
          <w:sz w:val="32"/>
          <w:szCs w:val="32"/>
        </w:rPr>
        <w:t>　　（2）贯彻执行国家有关审计法律、法规和方针政策；制定并组织实施审计工作发展规划、专业领域审计工作规划和年度审计计划。参与起草地方性财政经济及相关的地方性</w:t>
      </w:r>
      <w:r>
        <w:rPr>
          <w:rFonts w:ascii="仿宋_GB2312" w:eastAsia="仿宋_GB2312"/>
          <w:sz w:val="32"/>
          <w:szCs w:val="32"/>
        </w:rPr>
        <w:br w:type="textWrapping"/>
      </w:r>
      <w:r>
        <w:rPr>
          <w:rFonts w:ascii="仿宋_GB2312" w:eastAsia="仿宋_GB2312"/>
          <w:sz w:val="32"/>
          <w:szCs w:val="32"/>
        </w:rPr>
        <w:t>法规和规章草案；对直接审计、调查和核查的事项依法进行审计评价，做出审计决定或提出审计建议。</w:t>
      </w:r>
      <w:r>
        <w:rPr>
          <w:rFonts w:ascii="仿宋_GB2312" w:eastAsia="仿宋_GB2312"/>
          <w:sz w:val="32"/>
          <w:szCs w:val="32"/>
        </w:rPr>
        <w:br w:type="textWrapping"/>
      </w:r>
      <w:r>
        <w:rPr>
          <w:rFonts w:ascii="仿宋_GB2312" w:eastAsia="仿宋_GB2312"/>
          <w:sz w:val="32"/>
          <w:szCs w:val="32"/>
        </w:rPr>
        <w:t>　　（3）向自治区人民政府和国家审计署提出年度区本级预算执行和其他财政收支情况的审计结果报告。受自治区人民政府委托向自治区人大常委会提出区本级预算执行和其</w:t>
      </w:r>
      <w:r>
        <w:rPr>
          <w:rFonts w:ascii="仿宋_GB2312" w:eastAsia="仿宋_GB2312"/>
          <w:sz w:val="32"/>
          <w:szCs w:val="32"/>
        </w:rPr>
        <w:br w:type="textWrapping"/>
      </w:r>
      <w:r>
        <w:rPr>
          <w:rFonts w:ascii="仿宋_GB2312" w:eastAsia="仿宋_GB2312"/>
          <w:sz w:val="32"/>
          <w:szCs w:val="32"/>
        </w:rPr>
        <w:t>他财政收支情况的审计工作报告、审计发现问题的纠正和处理结果报告。向自治区人民政府报告对其他事项的审计和专项审计调查情况及结果。依法向社会公布审计结果。向自治区人民政府有关部门及地、州、市人民政府通报审计情况和审计结果。</w:t>
      </w:r>
      <w:r>
        <w:rPr>
          <w:rFonts w:ascii="仿宋_GB2312" w:eastAsia="仿宋_GB2312"/>
          <w:sz w:val="32"/>
          <w:szCs w:val="32"/>
        </w:rPr>
        <w:br w:type="textWrapping"/>
      </w:r>
      <w:r>
        <w:rPr>
          <w:rFonts w:ascii="仿宋_GB2312" w:eastAsia="仿宋_GB2312"/>
          <w:sz w:val="32"/>
          <w:szCs w:val="32"/>
        </w:rPr>
        <w:t>　　（4）直接审计下列事项，出具审计报告，在法定职权范围内做出审计决定或向有关主管机关提出处理处罚的建议：</w:t>
      </w:r>
      <w:r>
        <w:rPr>
          <w:rFonts w:ascii="仿宋_GB2312" w:eastAsia="仿宋_GB2312"/>
          <w:sz w:val="32"/>
          <w:szCs w:val="32"/>
        </w:rPr>
        <w:br w:type="textWrapping"/>
      </w:r>
      <w:r>
        <w:rPr>
          <w:rFonts w:ascii="仿宋_GB2312" w:eastAsia="仿宋_GB2312"/>
          <w:sz w:val="32"/>
          <w:szCs w:val="32"/>
        </w:rPr>
        <w:t xml:space="preserve">    一是自治区本级财政预算执行情况和其他财政收支，自治区人民政府各部门（含直属单位）预算的执行情况、决算和其他财政收支。</w:t>
      </w:r>
      <w:r>
        <w:rPr>
          <w:rFonts w:ascii="仿宋_GB2312" w:eastAsia="仿宋_GB2312"/>
          <w:sz w:val="32"/>
          <w:szCs w:val="32"/>
        </w:rPr>
        <w:br w:type="textWrapping"/>
      </w:r>
      <w:r>
        <w:rPr>
          <w:rFonts w:ascii="仿宋_GB2312" w:eastAsia="仿宋_GB2312"/>
          <w:sz w:val="32"/>
          <w:szCs w:val="32"/>
        </w:rPr>
        <w:t xml:space="preserve">    二是地、州、市人民政府（行署）预算执行情况、决算和其他财政收支，自治区财政转移支付资金。</w:t>
      </w:r>
      <w:r>
        <w:rPr>
          <w:rFonts w:ascii="仿宋_GB2312" w:eastAsia="仿宋_GB2312"/>
          <w:sz w:val="32"/>
          <w:szCs w:val="32"/>
        </w:rPr>
        <w:br w:type="textWrapping"/>
      </w:r>
      <w:r>
        <w:rPr>
          <w:rFonts w:ascii="仿宋_GB2312" w:eastAsia="仿宋_GB2312"/>
          <w:sz w:val="32"/>
          <w:szCs w:val="32"/>
        </w:rPr>
        <w:t xml:space="preserve">    三是使用自治区本级财政资金的事业单位和社会团体的财务收支。</w:t>
      </w:r>
      <w:r>
        <w:rPr>
          <w:rFonts w:ascii="仿宋_GB2312" w:eastAsia="仿宋_GB2312"/>
          <w:sz w:val="32"/>
          <w:szCs w:val="32"/>
        </w:rPr>
        <w:br w:type="textWrapping"/>
      </w:r>
      <w:r>
        <w:rPr>
          <w:rFonts w:ascii="仿宋_GB2312" w:eastAsia="仿宋_GB2312"/>
          <w:sz w:val="32"/>
          <w:szCs w:val="32"/>
        </w:rPr>
        <w:t xml:space="preserve">    四是自治区本级财政投资和以区本级财政投资为主的建设项目的预算执行情况和决算。</w:t>
      </w:r>
      <w:r>
        <w:rPr>
          <w:rFonts w:ascii="仿宋_GB2312" w:eastAsia="仿宋_GB2312"/>
          <w:sz w:val="32"/>
          <w:szCs w:val="32"/>
        </w:rPr>
        <w:br w:type="textWrapping"/>
      </w:r>
      <w:r>
        <w:rPr>
          <w:rFonts w:ascii="仿宋_GB2312" w:eastAsia="仿宋_GB2312"/>
          <w:sz w:val="32"/>
          <w:szCs w:val="32"/>
        </w:rPr>
        <w:t xml:space="preserve">    五是区属国有企业及国有资本控股或占主导地位企业的资产、负债和损益。地方金融机构的资产、负债和损益。</w:t>
      </w:r>
      <w:r>
        <w:rPr>
          <w:rFonts w:ascii="仿宋_GB2312" w:eastAsia="仿宋_GB2312"/>
          <w:sz w:val="32"/>
          <w:szCs w:val="32"/>
        </w:rPr>
        <w:br w:type="textWrapping"/>
      </w:r>
      <w:r>
        <w:rPr>
          <w:rFonts w:ascii="仿宋_GB2312" w:eastAsia="仿宋_GB2312"/>
          <w:sz w:val="32"/>
          <w:szCs w:val="32"/>
        </w:rPr>
        <w:t xml:space="preserve">    六是自治区人民政府部门，地、州、市人民政府（行署）管理和其他单位受自治区人民政府委托管理的社会保障基金、社会捐赠资金及其他有关基金、资金的财务收支。</w:t>
      </w:r>
      <w:r>
        <w:rPr>
          <w:rFonts w:ascii="仿宋_GB2312" w:eastAsia="仿宋_GB2312"/>
          <w:sz w:val="32"/>
          <w:szCs w:val="32"/>
        </w:rPr>
        <w:br w:type="textWrapping"/>
      </w:r>
      <w:r>
        <w:rPr>
          <w:rFonts w:ascii="仿宋_GB2312" w:eastAsia="仿宋_GB2312"/>
          <w:sz w:val="32"/>
          <w:szCs w:val="32"/>
        </w:rPr>
        <w:t xml:space="preserve">    七是国际组织和外国政府援助、贷款项目的财务收支。</w:t>
      </w:r>
      <w:r>
        <w:rPr>
          <w:rFonts w:ascii="仿宋_GB2312" w:eastAsia="仿宋_GB2312"/>
          <w:sz w:val="32"/>
          <w:szCs w:val="32"/>
        </w:rPr>
        <w:br w:type="textWrapping"/>
      </w:r>
      <w:r>
        <w:rPr>
          <w:rFonts w:ascii="仿宋_GB2312" w:eastAsia="仿宋_GB2312"/>
          <w:sz w:val="32"/>
          <w:szCs w:val="32"/>
        </w:rPr>
        <w:t xml:space="preserve">    八是法律、行政法规规定应由自治区审计厅审计的其他事项。</w:t>
      </w:r>
      <w:r>
        <w:rPr>
          <w:rFonts w:ascii="仿宋_GB2312" w:eastAsia="仿宋_GB2312"/>
          <w:sz w:val="32"/>
          <w:szCs w:val="32"/>
        </w:rPr>
        <w:br w:type="textWrapping"/>
      </w:r>
      <w:r>
        <w:rPr>
          <w:rFonts w:ascii="仿宋_GB2312" w:eastAsia="仿宋_GB2312"/>
          <w:sz w:val="32"/>
          <w:szCs w:val="32"/>
        </w:rPr>
        <w:t>　　（5）按规定对厅局级领导干部及依法属于自治区审计厅审计监督对象的其他单位主要负责人实施经济责任审计。</w:t>
      </w:r>
      <w:r>
        <w:rPr>
          <w:rFonts w:ascii="仿宋_GB2312" w:eastAsia="仿宋_GB2312"/>
          <w:sz w:val="32"/>
          <w:szCs w:val="32"/>
        </w:rPr>
        <w:br w:type="textWrapping"/>
      </w:r>
      <w:r>
        <w:rPr>
          <w:rFonts w:ascii="仿宋_GB2312" w:eastAsia="仿宋_GB2312"/>
          <w:sz w:val="32"/>
          <w:szCs w:val="32"/>
        </w:rPr>
        <w:t>　　（6）组织实施对国家财经法律、法规、规章、政策和宏观调控措施执行情况、财政预算管理或国有资产管理使用等与自治区财政收支有关的特定事项进行专项审计调查。</w:t>
      </w:r>
      <w:r>
        <w:rPr>
          <w:rFonts w:ascii="仿宋_GB2312" w:eastAsia="仿宋_GB2312"/>
          <w:sz w:val="32"/>
          <w:szCs w:val="32"/>
        </w:rPr>
        <w:br w:type="textWrapping"/>
      </w:r>
      <w:r>
        <w:rPr>
          <w:rFonts w:ascii="仿宋_GB2312" w:eastAsia="仿宋_GB2312"/>
          <w:sz w:val="32"/>
          <w:szCs w:val="32"/>
        </w:rPr>
        <w:t>　　（7）依法检查审计决定执行情况，督促纠正和处理审计发现的问题，依法办理被审计单位对审计决定提请行政复议、行政诉讼或自治区人民政府裁决中的有关事项。协助配</w:t>
      </w:r>
      <w:r>
        <w:rPr>
          <w:rFonts w:ascii="仿宋_GB2312" w:eastAsia="仿宋_GB2312"/>
          <w:sz w:val="32"/>
          <w:szCs w:val="32"/>
        </w:rPr>
        <w:br w:type="textWrapping"/>
      </w:r>
      <w:r>
        <w:rPr>
          <w:rFonts w:ascii="仿宋_GB2312" w:eastAsia="仿宋_GB2312"/>
          <w:sz w:val="32"/>
          <w:szCs w:val="32"/>
        </w:rPr>
        <w:t>合有关部门查处相关重大案件。</w:t>
      </w:r>
      <w:r>
        <w:rPr>
          <w:rFonts w:ascii="仿宋_GB2312" w:eastAsia="仿宋_GB2312"/>
          <w:sz w:val="32"/>
          <w:szCs w:val="32"/>
        </w:rPr>
        <w:br w:type="textWrapping"/>
      </w:r>
      <w:r>
        <w:rPr>
          <w:rFonts w:ascii="仿宋_GB2312" w:eastAsia="仿宋_GB2312"/>
          <w:sz w:val="32"/>
          <w:szCs w:val="32"/>
        </w:rPr>
        <w:t>　　（8）指导和监督内部审计工作，核查社会审计机构对依法属于审计监督对象的单位出具的相关审计报告。</w:t>
      </w:r>
      <w:r>
        <w:rPr>
          <w:rFonts w:ascii="仿宋_GB2312" w:eastAsia="仿宋_GB2312"/>
          <w:sz w:val="32"/>
          <w:szCs w:val="32"/>
        </w:rPr>
        <w:br w:type="textWrapping"/>
      </w:r>
      <w:r>
        <w:rPr>
          <w:rFonts w:ascii="仿宋_GB2312" w:eastAsia="仿宋_GB2312"/>
          <w:sz w:val="32"/>
          <w:szCs w:val="32"/>
        </w:rPr>
        <w:t>　　（9）与地、州、市人民政府（行署）共同领导地、州、市审计机关。依法领导和监督自治区各级审计机关的业务，组织自治区各级审计机关实施特定项目的专项审计或审计</w:t>
      </w:r>
      <w:r>
        <w:rPr>
          <w:rFonts w:ascii="仿宋_GB2312" w:eastAsia="仿宋_GB2312"/>
          <w:sz w:val="32"/>
          <w:szCs w:val="32"/>
        </w:rPr>
        <w:br w:type="textWrapping"/>
      </w:r>
      <w:r>
        <w:rPr>
          <w:rFonts w:ascii="仿宋_GB2312" w:eastAsia="仿宋_GB2312"/>
          <w:sz w:val="32"/>
          <w:szCs w:val="32"/>
        </w:rPr>
        <w:t>调查纠正或责成纠正自治区各级审计机关违反国家规定做出的审计决定。按照干部管理权限协管地、州、市审计机关负责人。</w:t>
      </w:r>
      <w:r>
        <w:rPr>
          <w:rFonts w:ascii="仿宋_GB2312" w:eastAsia="仿宋_GB2312"/>
          <w:sz w:val="32"/>
          <w:szCs w:val="32"/>
        </w:rPr>
        <w:br w:type="textWrapping"/>
      </w:r>
      <w:r>
        <w:rPr>
          <w:rFonts w:ascii="仿宋_GB2312" w:eastAsia="仿宋_GB2312"/>
          <w:sz w:val="32"/>
          <w:szCs w:val="32"/>
        </w:rPr>
        <w:t>　　（10）组织审计自治区人民政府及有关部门驻外非经营性机构的财务收支，依法通过适当方式组织审计自治区国有企业和地方金融机构的境外资产、负债和损益。</w:t>
      </w:r>
      <w:r>
        <w:rPr>
          <w:rFonts w:ascii="仿宋_GB2312" w:eastAsia="仿宋_GB2312"/>
          <w:sz w:val="32"/>
          <w:szCs w:val="32"/>
        </w:rPr>
        <w:br w:type="textWrapping"/>
      </w:r>
      <w:r>
        <w:rPr>
          <w:rFonts w:ascii="仿宋_GB2312" w:eastAsia="仿宋_GB2312"/>
          <w:sz w:val="32"/>
          <w:szCs w:val="32"/>
        </w:rPr>
        <w:t>　　（11）承担国家审计署授权的审计事项。</w:t>
      </w:r>
      <w:r>
        <w:rPr>
          <w:rFonts w:ascii="仿宋_GB2312" w:eastAsia="仿宋_GB2312"/>
          <w:sz w:val="32"/>
          <w:szCs w:val="32"/>
        </w:rPr>
        <w:br w:type="textWrapping"/>
      </w:r>
      <w:r>
        <w:rPr>
          <w:rFonts w:ascii="仿宋_GB2312" w:eastAsia="仿宋_GB2312"/>
          <w:sz w:val="32"/>
          <w:szCs w:val="32"/>
        </w:rPr>
        <w:t>　　（12）指导和推广信息技术在审计领域的应用，组织建设自治区审计信息系统。</w:t>
      </w:r>
      <w:r>
        <w:rPr>
          <w:rFonts w:ascii="仿宋_GB2312" w:eastAsia="仿宋_GB2312"/>
          <w:sz w:val="32"/>
          <w:szCs w:val="32"/>
        </w:rPr>
        <w:br w:type="textWrapping"/>
      </w:r>
      <w:r>
        <w:rPr>
          <w:rFonts w:ascii="仿宋_GB2312" w:eastAsia="仿宋_GB2312"/>
          <w:sz w:val="32"/>
          <w:szCs w:val="32"/>
        </w:rPr>
        <w:t>　　（13）承办自治区人民政府交办的其他事项</w:t>
      </w:r>
      <w:r>
        <w:rPr>
          <w:rFonts w:hint="eastAsia" w:ascii="仿宋_GB2312" w:eastAsia="仿宋_GB2312"/>
          <w:sz w:val="32"/>
          <w:szCs w:val="32"/>
        </w:rPr>
        <w:t>。</w:t>
      </w:r>
    </w:p>
    <w:p>
      <w:pPr>
        <w:widowControl w:val="0"/>
        <w:wordWrap/>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b/>
          <w:sz w:val="32"/>
          <w:szCs w:val="32"/>
          <w:highlight w:val="none"/>
        </w:rPr>
      </w:pPr>
      <w:r>
        <w:rPr>
          <w:rFonts w:hint="eastAsia" w:ascii="仿宋_GB2312" w:eastAsia="仿宋_GB2312"/>
          <w:sz w:val="32"/>
          <w:szCs w:val="32"/>
          <w:highlight w:val="none"/>
          <w:lang w:val="en-US" w:eastAsia="zh-CN"/>
        </w:rPr>
        <w:t>新疆维吾尔自治区审计厅</w:t>
      </w:r>
      <w:r>
        <w:rPr>
          <w:rFonts w:hint="eastAsia" w:ascii="仿宋_GB2312" w:eastAsia="仿宋_GB2312"/>
          <w:sz w:val="32"/>
          <w:szCs w:val="32"/>
          <w:highlight w:val="none"/>
          <w:lang w:eastAsia="zh-CN"/>
        </w:rPr>
        <w:t>2023年度，</w:t>
      </w:r>
      <w:r>
        <w:rPr>
          <w:rFonts w:hint="eastAsia" w:ascii="仿宋_GB2312" w:eastAsia="仿宋_GB2312"/>
          <w:sz w:val="32"/>
          <w:szCs w:val="32"/>
          <w:highlight w:val="none"/>
        </w:rPr>
        <w:t>实有人数</w:t>
      </w:r>
      <w:r>
        <w:rPr>
          <w:rFonts w:hint="eastAsia" w:ascii="仿宋_GB2312" w:eastAsia="仿宋_GB2312"/>
          <w:sz w:val="32"/>
          <w:szCs w:val="32"/>
          <w:highlight w:val="none"/>
          <w:lang w:val="zh-CN" w:eastAsia="zh-CN"/>
        </w:rPr>
        <w:t>396</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zh-CN" w:eastAsia="zh-CN"/>
        </w:rPr>
        <w:t>218</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zh-CN"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zh-CN" w:eastAsia="zh-CN"/>
        </w:rPr>
        <w:t>178</w:t>
      </w:r>
      <w:r>
        <w:rPr>
          <w:rFonts w:hint="eastAsia" w:ascii="仿宋_GB2312" w:eastAsia="仿宋_GB2312"/>
          <w:sz w:val="32"/>
          <w:szCs w:val="32"/>
          <w:highlight w:val="none"/>
        </w:rPr>
        <w:t>人。</w:t>
      </w:r>
    </w:p>
    <w:p>
      <w:pPr>
        <w:ind w:firstLine="640" w:firstLineChars="200"/>
        <w:rPr>
          <w:rFonts w:ascii="仿宋_GB2312" w:eastAsia="仿宋_GB2312"/>
          <w:sz w:val="32"/>
          <w:szCs w:val="32"/>
        </w:rPr>
      </w:pPr>
      <w:r>
        <w:rPr>
          <w:rFonts w:hint="eastAsia" w:ascii="仿宋_GB2312" w:hAnsi="黑体" w:eastAsia="仿宋_GB2312" w:cs="宋体"/>
          <w:bCs/>
          <w:kern w:val="0"/>
          <w:sz w:val="32"/>
          <w:szCs w:val="32"/>
        </w:rPr>
        <w:t>单位无下属预算单位，下设</w:t>
      </w:r>
      <w:r>
        <w:rPr>
          <w:rFonts w:hint="eastAsia" w:ascii="仿宋_GB2312" w:eastAsia="仿宋_GB2312"/>
          <w:sz w:val="32"/>
          <w:szCs w:val="32"/>
        </w:rPr>
        <w:t>38</w:t>
      </w:r>
      <w:r>
        <w:rPr>
          <w:rFonts w:hint="eastAsia" w:ascii="仿宋_GB2312" w:hAnsi="黑体" w:eastAsia="仿宋_GB2312" w:cs="宋体"/>
          <w:bCs/>
          <w:kern w:val="0"/>
          <w:sz w:val="32"/>
          <w:szCs w:val="32"/>
        </w:rPr>
        <w:t>个处室，分别是：办公室、政策法规处、审理处、内部审计指导监督处、电子数据审计处、财政审计处、教科文卫审计处、农业农村审计处、固定资产投资审计处、社会保障审计处、自然资源和生态环境审计处、金融审计处、企业审计处、涉外审计处、经济责任审计处、督察处、财务处、人事处、机关党委、离退休干部工作处、派出审计一处、派出审计二处、派出审计三处、派出审计四处、派出审计五处、派出审计六处、派出审计七处、派出审计八处、派出审计九处、派出审计十处、派出审计十一处、派出审计十二处、派出审计十三处、派出审计十四处、自治区党委审计委员会办公室秘书处、自治区固定资产投资审计技术保障中心、审计科学研究所、计算机技术中心</w:t>
      </w:r>
      <w:r>
        <w:rPr>
          <w:rFonts w:hint="eastAsia" w:ascii="仿宋_GB2312" w:hAnsi="宋体" w:eastAsia="仿宋_GB2312" w:cs="宋体"/>
          <w:kern w:val="0"/>
          <w:sz w:val="32"/>
          <w:szCs w:val="32"/>
        </w:rPr>
        <w:t>。</w:t>
      </w:r>
    </w:p>
    <w:p>
      <w:pPr>
        <w:widowControl w:val="0"/>
        <w:wordWrap/>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黑体" w:hAnsi="黑体" w:eastAsia="黑体"/>
          <w:sz w:val="32"/>
          <w:szCs w:val="32"/>
        </w:rPr>
        <w:br w:type="page"/>
      </w:r>
    </w:p>
    <w:p>
      <w:pPr>
        <w:widowControl w:val="0"/>
        <w:wordWrap/>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6" w:name="_Toc3092"/>
      <w:bookmarkStart w:id="7" w:name="_Toc29374"/>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部分 部门决算情况说明</w:t>
      </w:r>
      <w:bookmarkEnd w:id="6"/>
      <w:bookmarkEnd w:id="7"/>
    </w:p>
    <w:p>
      <w:pPr>
        <w:widowControl w:val="0"/>
        <w:wordWrap/>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2023年度</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10,263.69万元，</w:t>
      </w:r>
      <w:r>
        <w:rPr>
          <w:rFonts w:hint="eastAsia" w:ascii="仿宋_GB2312" w:eastAsia="仿宋_GB2312"/>
          <w:spacing w:val="0"/>
          <w:sz w:val="32"/>
          <w:szCs w:val="32"/>
          <w:highlight w:val="none"/>
          <w:lang w:val="en-US" w:eastAsia="zh-CN"/>
        </w:rPr>
        <w:t>其中：本年收入合计</w:t>
      </w:r>
      <w:r>
        <w:rPr>
          <w:rFonts w:hint="eastAsia" w:ascii="仿宋_GB2312" w:eastAsia="仿宋_GB2312"/>
          <w:spacing w:val="0"/>
          <w:sz w:val="32"/>
          <w:szCs w:val="32"/>
          <w:highlight w:val="none"/>
          <w:lang w:eastAsia="zh-CN"/>
        </w:rPr>
        <w:t>9,896.23万元，使用非财政拨款结余0.00万元，年初结转和结余367.46万元。</w:t>
      </w:r>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2023</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度</w:t>
      </w:r>
      <w:r>
        <w:rPr>
          <w:rFonts w:hint="eastAsia" w:ascii="仿宋_GB2312" w:eastAsia="仿宋_GB2312"/>
          <w:spacing w:val="0"/>
          <w:sz w:val="32"/>
          <w:szCs w:val="32"/>
          <w:highlight w:val="none"/>
          <w:lang w:eastAsia="zh-CN"/>
        </w:rPr>
        <w:t>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10,263.69万元，</w:t>
      </w:r>
      <w:r>
        <w:rPr>
          <w:rFonts w:hint="eastAsia" w:ascii="仿宋_GB2312" w:eastAsia="仿宋_GB2312"/>
          <w:spacing w:val="0"/>
          <w:sz w:val="32"/>
          <w:szCs w:val="32"/>
          <w:highlight w:val="none"/>
          <w:lang w:val="en-US" w:eastAsia="zh-CN"/>
        </w:rPr>
        <w:t>其中：本年支出合计</w:t>
      </w:r>
      <w:r>
        <w:rPr>
          <w:rFonts w:hint="eastAsia" w:ascii="仿宋_GB2312" w:eastAsia="仿宋_GB2312"/>
          <w:spacing w:val="0"/>
          <w:sz w:val="32"/>
          <w:szCs w:val="32"/>
          <w:highlight w:val="none"/>
          <w:lang w:eastAsia="zh-CN"/>
        </w:rPr>
        <w:t>10,092.96万元，</w:t>
      </w:r>
      <w:r>
        <w:rPr>
          <w:rFonts w:hint="eastAsia" w:ascii="仿宋_GB2312" w:eastAsia="仿宋_GB2312"/>
          <w:spacing w:val="0"/>
          <w:sz w:val="32"/>
          <w:szCs w:val="32"/>
          <w:highlight w:val="none"/>
          <w:lang w:val="en-US" w:eastAsia="zh-CN"/>
        </w:rPr>
        <w:t>结余分配</w:t>
      </w:r>
      <w:r>
        <w:rPr>
          <w:rFonts w:hint="eastAsia" w:ascii="仿宋_GB2312" w:eastAsia="仿宋_GB2312"/>
          <w:spacing w:val="0"/>
          <w:sz w:val="32"/>
          <w:szCs w:val="32"/>
          <w:highlight w:val="none"/>
          <w:lang w:eastAsia="zh-CN"/>
        </w:rPr>
        <w:t>0.00万元，年末结转和结余170.73万元。</w:t>
      </w:r>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收入支出总体</w:t>
      </w:r>
      <w:r>
        <w:rPr>
          <w:rFonts w:hint="eastAsia" w:ascii="仿宋_GB2312" w:eastAsia="仿宋_GB2312"/>
          <w:spacing w:val="0"/>
          <w:sz w:val="32"/>
          <w:szCs w:val="32"/>
          <w:highlight w:val="none"/>
          <w:lang w:eastAsia="zh-CN"/>
        </w:rPr>
        <w:t>与上年相比，</w:t>
      </w:r>
      <w:r>
        <w:rPr>
          <w:rFonts w:hint="eastAsia" w:ascii="仿宋_GB2312" w:eastAsia="仿宋_GB2312"/>
          <w:spacing w:val="0"/>
          <w:sz w:val="32"/>
          <w:szCs w:val="32"/>
          <w:highlight w:val="none"/>
          <w:lang w:val="zh-CN" w:eastAsia="zh-CN"/>
        </w:rPr>
        <w:t>增加1,999.35万元</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zh-CN" w:eastAsia="zh-CN"/>
        </w:rPr>
        <w:t>增长24.19%</w:t>
      </w:r>
      <w:r>
        <w:rPr>
          <w:rFonts w:hint="eastAsia" w:ascii="仿宋_GB2312" w:eastAsia="仿宋_GB2312"/>
          <w:spacing w:val="0"/>
          <w:sz w:val="32"/>
          <w:szCs w:val="32"/>
          <w:highlight w:val="none"/>
          <w:lang w:eastAsia="zh-CN"/>
        </w:rPr>
        <w:t>，主要原因是：新增金审三期工程建设项目</w:t>
      </w:r>
      <w:r>
        <w:rPr>
          <w:rFonts w:hint="eastAsia" w:ascii="仿宋_GB2312" w:eastAsia="仿宋_GB2312"/>
          <w:sz w:val="32"/>
          <w:szCs w:val="32"/>
        </w:rPr>
        <w:t>及正常人员增资</w:t>
      </w:r>
      <w:r>
        <w:rPr>
          <w:rFonts w:hint="eastAsia" w:ascii="仿宋_GB2312" w:eastAsia="仿宋_GB2312"/>
          <w:spacing w:val="0"/>
          <w:sz w:val="32"/>
          <w:szCs w:val="32"/>
          <w:highlight w:val="none"/>
          <w:lang w:eastAsia="zh-CN"/>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本年收入</w:t>
      </w:r>
      <w:r>
        <w:rPr>
          <w:rFonts w:hint="eastAsia" w:ascii="仿宋_GB2312" w:eastAsia="仿宋_GB2312"/>
          <w:sz w:val="32"/>
          <w:szCs w:val="32"/>
          <w:highlight w:val="none"/>
          <w:lang w:eastAsia="zh-CN"/>
        </w:rPr>
        <w:t>9,896.23</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zh-CN"/>
        </w:rPr>
        <w:t>9,893.94</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99.98</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；事业收入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；经营收入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；其他收入</w:t>
      </w:r>
      <w:r>
        <w:rPr>
          <w:rFonts w:hint="eastAsia" w:ascii="仿宋_GB2312" w:eastAsia="仿宋_GB2312"/>
          <w:sz w:val="32"/>
          <w:szCs w:val="32"/>
          <w:highlight w:val="none"/>
          <w:lang w:val="zh-CN"/>
        </w:rPr>
        <w:t>2.28</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widowControl w:val="0"/>
        <w:wordWrap/>
        <w:adjustRightInd/>
        <w:snapToGrid/>
        <w:spacing w:line="240" w:lineRule="auto"/>
        <w:ind w:firstLine="64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2"/>
          <w:szCs w:val="32"/>
          <w:highlight w:val="none"/>
          <w:lang w:val="zh-CN" w:eastAsia="zh-CN"/>
        </w:rPr>
        <w:t>本年支出10,092.96万元，其中：基本支出6,103.56万元，占60.47%；项目支出3,989.40万元，占39.53%；上缴上级支出0.00万元，占0.00%；经营支出0.00万元，占0.00%；对附属单位补助支出0.00万元，占0.00%。</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4" w:name="_Toc4393"/>
      <w:bookmarkStart w:id="15" w:name="_Toc26564"/>
      <w:r>
        <w:rPr>
          <w:rFonts w:hint="eastAsia" w:ascii="黑体" w:hAnsi="黑体" w:eastAsia="黑体" w:cs="宋体"/>
          <w:bCs/>
          <w:kern w:val="0"/>
          <w:sz w:val="32"/>
          <w:szCs w:val="32"/>
          <w:highlight w:val="none"/>
          <w:lang w:eastAsia="zh-CN"/>
        </w:rPr>
        <w:t>四、财政拨款收入支出决算总体情况说明</w:t>
      </w:r>
      <w:bookmarkEnd w:id="14"/>
      <w:bookmarkEnd w:id="15"/>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2023年度财政拨款收入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val="zh-CN" w:eastAsia="zh-CN"/>
        </w:rPr>
        <w:t>10,040.44</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其中：年初财政拨款结转和结余</w:t>
      </w:r>
      <w:r>
        <w:rPr>
          <w:rFonts w:hint="eastAsia" w:ascii="仿宋_GB2312" w:eastAsia="仿宋_GB2312"/>
          <w:spacing w:val="0"/>
          <w:sz w:val="32"/>
          <w:szCs w:val="32"/>
          <w:highlight w:val="none"/>
          <w:lang w:val="zh-CN" w:eastAsia="zh-CN"/>
        </w:rPr>
        <w:t>146.49</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本年财政拨款收入</w:t>
      </w:r>
      <w:r>
        <w:rPr>
          <w:rFonts w:hint="eastAsia" w:ascii="仿宋_GB2312" w:eastAsia="仿宋_GB2312"/>
          <w:spacing w:val="0"/>
          <w:sz w:val="32"/>
          <w:szCs w:val="32"/>
          <w:highlight w:val="none"/>
          <w:lang w:val="zh-CN" w:eastAsia="zh-CN"/>
        </w:rPr>
        <w:t>9,893.94</w:t>
      </w:r>
      <w:r>
        <w:rPr>
          <w:rFonts w:hint="eastAsia" w:ascii="仿宋_GB2312" w:eastAsia="仿宋_GB2312"/>
          <w:spacing w:val="0"/>
          <w:sz w:val="32"/>
          <w:szCs w:val="32"/>
          <w:highlight w:val="none"/>
          <w:lang w:eastAsia="zh-CN"/>
        </w:rPr>
        <w:t>万元。财政拨款支出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val="zh-CN" w:eastAsia="zh-CN"/>
        </w:rPr>
        <w:t>10,040.44</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其中：年末财政拨款结转和结余</w:t>
      </w:r>
      <w:r>
        <w:rPr>
          <w:rFonts w:hint="eastAsia" w:ascii="仿宋_GB2312" w:eastAsia="仿宋_GB2312"/>
          <w:spacing w:val="0"/>
          <w:sz w:val="32"/>
          <w:szCs w:val="32"/>
          <w:highlight w:val="none"/>
          <w:lang w:val="zh-CN" w:eastAsia="zh-CN"/>
        </w:rPr>
        <w:t>0.00</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本年财政拨款支出</w:t>
      </w:r>
      <w:r>
        <w:rPr>
          <w:rFonts w:hint="eastAsia" w:ascii="仿宋_GB2312" w:eastAsia="仿宋_GB2312"/>
          <w:spacing w:val="0"/>
          <w:sz w:val="32"/>
          <w:szCs w:val="32"/>
          <w:highlight w:val="none"/>
          <w:lang w:val="zh-CN" w:eastAsia="zh-CN"/>
        </w:rPr>
        <w:t>10,040.44</w:t>
      </w:r>
      <w:r>
        <w:rPr>
          <w:rFonts w:hint="eastAsia" w:ascii="仿宋_GB2312" w:eastAsia="仿宋_GB2312"/>
          <w:spacing w:val="0"/>
          <w:sz w:val="32"/>
          <w:szCs w:val="32"/>
          <w:highlight w:val="none"/>
          <w:lang w:eastAsia="zh-CN"/>
        </w:rPr>
        <w:t>万元。</w:t>
      </w:r>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财政拨款</w:t>
      </w:r>
      <w:r>
        <w:rPr>
          <w:rFonts w:hint="eastAsia" w:ascii="仿宋_GB2312" w:eastAsia="仿宋_GB2312"/>
          <w:spacing w:val="0"/>
          <w:sz w:val="32"/>
          <w:szCs w:val="32"/>
          <w:highlight w:val="none"/>
          <w:lang w:val="en-US" w:eastAsia="zh-CN"/>
        </w:rPr>
        <w:t>收入支出总体</w:t>
      </w:r>
      <w:r>
        <w:rPr>
          <w:rFonts w:hint="eastAsia" w:ascii="仿宋_GB2312" w:eastAsia="仿宋_GB2312"/>
          <w:spacing w:val="0"/>
          <w:sz w:val="32"/>
          <w:szCs w:val="32"/>
          <w:highlight w:val="none"/>
          <w:lang w:eastAsia="zh-CN"/>
        </w:rPr>
        <w:t>与上年相比</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val="zh-CN" w:eastAsia="zh-CN"/>
        </w:rPr>
        <w:t>增加2,006.43万元</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zh-CN" w:eastAsia="zh-CN"/>
        </w:rPr>
        <w:t>增长24.97%，</w:t>
      </w:r>
      <w:r>
        <w:rPr>
          <w:rFonts w:hint="eastAsia" w:ascii="仿宋_GB2312" w:eastAsia="仿宋_GB2312"/>
          <w:spacing w:val="0"/>
          <w:sz w:val="32"/>
          <w:szCs w:val="32"/>
          <w:highlight w:val="none"/>
          <w:lang w:eastAsia="zh-CN"/>
        </w:rPr>
        <w:t>主要原因是：新增金审三期工程建设项目</w:t>
      </w:r>
      <w:r>
        <w:rPr>
          <w:rFonts w:hint="eastAsia" w:ascii="仿宋_GB2312" w:eastAsia="仿宋_GB2312"/>
          <w:sz w:val="32"/>
          <w:szCs w:val="32"/>
        </w:rPr>
        <w:t>及正常人员增资</w:t>
      </w:r>
      <w:r>
        <w:rPr>
          <w:rFonts w:hint="eastAsia" w:ascii="仿宋_GB2312" w:eastAsia="仿宋_GB2312"/>
          <w:spacing w:val="0"/>
          <w:sz w:val="32"/>
          <w:szCs w:val="32"/>
          <w:highlight w:val="none"/>
          <w:lang w:eastAsia="zh-CN"/>
        </w:rPr>
        <w:t>。与年初预算相比，年初预算数</w:t>
      </w:r>
      <w:r>
        <w:rPr>
          <w:rFonts w:hint="eastAsia" w:ascii="仿宋_GB2312" w:eastAsia="仿宋_GB2312"/>
          <w:spacing w:val="0"/>
          <w:sz w:val="32"/>
          <w:szCs w:val="32"/>
          <w:highlight w:val="none"/>
          <w:lang w:val="zh-CN" w:eastAsia="zh-CN"/>
        </w:rPr>
        <w:t>7,724.05</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zh-CN" w:eastAsia="zh-CN"/>
        </w:rPr>
        <w:t>10,040.44</w:t>
      </w:r>
      <w:r>
        <w:rPr>
          <w:rFonts w:hint="eastAsia" w:ascii="仿宋_GB2312" w:eastAsia="仿宋_GB2312"/>
          <w:spacing w:val="0"/>
          <w:sz w:val="32"/>
          <w:szCs w:val="32"/>
          <w:highlight w:val="none"/>
          <w:lang w:eastAsia="zh-CN"/>
        </w:rPr>
        <w:t>万元，预决算差异率29.99%，主要原因是：下半年追加金审三期工程建设项目资金。</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widowControl w:val="0"/>
        <w:wordWrap/>
        <w:adjustRightInd/>
        <w:snapToGrid/>
        <w:spacing w:line="240" w:lineRule="auto"/>
        <w:ind w:firstLine="640" w:firstLineChars="200"/>
        <w:jc w:val="left"/>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widowControl w:val="0"/>
        <w:wordWrap/>
        <w:adjustRightInd/>
        <w:snapToGrid/>
        <w:spacing w:line="600" w:lineRule="exact"/>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2023年度一般公共预算财政拨款支出10,040.44万元，占本年支出合计的</w:t>
      </w:r>
      <w:r>
        <w:rPr>
          <w:rFonts w:hint="eastAsia" w:ascii="仿宋_GB2312" w:eastAsia="仿宋_GB2312"/>
          <w:spacing w:val="0"/>
          <w:sz w:val="32"/>
          <w:szCs w:val="32"/>
          <w:highlight w:val="none"/>
          <w:lang w:val="zh-CN" w:eastAsia="zh-CN"/>
        </w:rPr>
        <w:t>99.48%</w:t>
      </w:r>
      <w:r>
        <w:rPr>
          <w:rFonts w:hint="eastAsia" w:ascii="仿宋_GB2312" w:eastAsia="仿宋_GB2312"/>
          <w:spacing w:val="0"/>
          <w:sz w:val="32"/>
          <w:szCs w:val="32"/>
          <w:highlight w:val="none"/>
          <w:lang w:eastAsia="zh-CN"/>
        </w:rPr>
        <w:t>。与上年相比，</w:t>
      </w:r>
      <w:r>
        <w:rPr>
          <w:rFonts w:hint="eastAsia" w:ascii="仿宋_GB2312" w:eastAsia="仿宋_GB2312"/>
          <w:spacing w:val="0"/>
          <w:sz w:val="32"/>
          <w:szCs w:val="32"/>
          <w:highlight w:val="none"/>
          <w:lang w:val="zh-CN" w:eastAsia="zh-CN"/>
        </w:rPr>
        <w:t>增加2,152.92万元</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zh-CN" w:eastAsia="zh-CN"/>
        </w:rPr>
        <w:t>增长27.30%，</w:t>
      </w:r>
      <w:r>
        <w:rPr>
          <w:rFonts w:hint="eastAsia" w:ascii="仿宋_GB2312" w:eastAsia="仿宋_GB2312"/>
          <w:spacing w:val="0"/>
          <w:sz w:val="32"/>
          <w:szCs w:val="32"/>
          <w:highlight w:val="none"/>
          <w:lang w:eastAsia="zh-CN"/>
        </w:rPr>
        <w:t>主要原因是：新增金审三期工程建设项目。与年初预算相比，年初预算数</w:t>
      </w:r>
      <w:r>
        <w:rPr>
          <w:rFonts w:hint="eastAsia" w:ascii="仿宋_GB2312" w:eastAsia="仿宋_GB2312"/>
          <w:spacing w:val="0"/>
          <w:sz w:val="32"/>
          <w:szCs w:val="32"/>
          <w:highlight w:val="none"/>
          <w:lang w:val="zh-CN" w:eastAsia="zh-CN"/>
        </w:rPr>
        <w:t>7,724.05</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zh-CN" w:eastAsia="zh-CN"/>
        </w:rPr>
        <w:t>10,040.44</w:t>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zh-CN" w:eastAsia="zh-CN"/>
        </w:rPr>
        <w:t>29.99%</w:t>
      </w:r>
      <w:r>
        <w:rPr>
          <w:rFonts w:hint="eastAsia" w:ascii="仿宋_GB2312" w:eastAsia="仿宋_GB2312"/>
          <w:spacing w:val="0"/>
          <w:sz w:val="32"/>
          <w:szCs w:val="32"/>
          <w:highlight w:val="none"/>
          <w:lang w:eastAsia="zh-CN"/>
        </w:rPr>
        <w:t>，主要原因是：下半年追加金审三期工程建设项目资金。</w:t>
      </w:r>
    </w:p>
    <w:p>
      <w:pPr>
        <w:widowControl w:val="0"/>
        <w:numPr>
          <w:ilvl w:val="0"/>
          <w:numId w:val="1"/>
        </w:numPr>
        <w:wordWrap/>
        <w:adjustRightInd/>
        <w:snapToGrid/>
        <w:spacing w:line="240" w:lineRule="auto"/>
        <w:ind w:firstLine="640" w:firstLineChars="200"/>
        <w:jc w:val="left"/>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default" w:ascii="仿宋_GB2312" w:hAnsi="Times New Roman" w:eastAsia="仿宋_GB2312" w:cs="Times New Roman"/>
          <w:spacing w:val="0"/>
          <w:kern w:val="2"/>
          <w:sz w:val="32"/>
          <w:szCs w:val="32"/>
          <w:highlight w:val="none"/>
          <w:lang w:val="zh-CN" w:eastAsia="zh-CN" w:bidi="ar-SA"/>
        </w:rPr>
        <w:t>1.一般公共服务支出（类）</w:t>
      </w:r>
      <w:r>
        <w:rPr>
          <w:rFonts w:hint="eastAsia" w:ascii="仿宋_GB2312" w:hAnsi="Times New Roman" w:eastAsia="仿宋_GB2312" w:cs="Times New Roman"/>
          <w:spacing w:val="0"/>
          <w:kern w:val="2"/>
          <w:sz w:val="32"/>
          <w:szCs w:val="32"/>
          <w:highlight w:val="none"/>
          <w:lang w:val="zh-CN" w:eastAsia="zh-CN" w:bidi="ar-SA"/>
        </w:rPr>
        <w:t>8,379.22</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83.45</w:t>
      </w:r>
      <w:r>
        <w:rPr>
          <w:rFonts w:hint="default" w:ascii="仿宋_GB2312" w:hAnsi="Times New Roman" w:eastAsia="仿宋_GB2312" w:cs="Times New Roman"/>
          <w:spacing w:val="0"/>
          <w:kern w:val="2"/>
          <w:sz w:val="32"/>
          <w:szCs w:val="32"/>
          <w:highlight w:val="none"/>
          <w:lang w:val="zh-CN" w:eastAsia="zh-CN" w:bidi="ar-SA"/>
        </w:rPr>
        <w:t>%；</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default" w:ascii="仿宋_GB2312" w:hAnsi="Times New Roman" w:eastAsia="仿宋_GB2312" w:cs="Times New Roman"/>
          <w:spacing w:val="0"/>
          <w:kern w:val="2"/>
          <w:sz w:val="32"/>
          <w:szCs w:val="32"/>
          <w:highlight w:val="none"/>
          <w:lang w:val="en-US" w:eastAsia="zh-CN" w:bidi="ar-SA"/>
        </w:rPr>
        <w:t>2.</w:t>
      </w:r>
      <w:r>
        <w:rPr>
          <w:rFonts w:hint="default" w:ascii="仿宋_GB2312" w:hAnsi="Times New Roman" w:eastAsia="仿宋_GB2312" w:cs="Times New Roman"/>
          <w:spacing w:val="0"/>
          <w:kern w:val="2"/>
          <w:sz w:val="32"/>
          <w:szCs w:val="32"/>
          <w:highlight w:val="none"/>
          <w:lang w:val="zh-CN" w:eastAsia="zh-CN" w:bidi="ar-SA"/>
        </w:rPr>
        <w:t>社会保障和就业支出（类）</w:t>
      </w:r>
      <w:r>
        <w:rPr>
          <w:rFonts w:hint="eastAsia" w:ascii="仿宋_GB2312" w:hAnsi="Times New Roman" w:eastAsia="仿宋_GB2312" w:cs="Times New Roman"/>
          <w:spacing w:val="0"/>
          <w:kern w:val="2"/>
          <w:sz w:val="32"/>
          <w:szCs w:val="32"/>
          <w:highlight w:val="none"/>
          <w:lang w:val="zh-CN" w:eastAsia="zh-CN" w:bidi="ar-SA"/>
        </w:rPr>
        <w:t>907.55</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9.04</w:t>
      </w:r>
      <w:r>
        <w:rPr>
          <w:rFonts w:hint="default" w:ascii="仿宋_GB2312" w:hAnsi="Times New Roman" w:eastAsia="仿宋_GB2312" w:cs="Times New Roman"/>
          <w:spacing w:val="0"/>
          <w:kern w:val="2"/>
          <w:sz w:val="32"/>
          <w:szCs w:val="32"/>
          <w:highlight w:val="none"/>
          <w:lang w:val="zh-CN" w:eastAsia="zh-CN" w:bidi="ar-SA"/>
        </w:rPr>
        <w:t>%；</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eastAsia" w:ascii="仿宋_GB2312" w:eastAsia="仿宋_GB2312" w:cs="Times New Roman"/>
          <w:spacing w:val="0"/>
          <w:kern w:val="2"/>
          <w:sz w:val="32"/>
          <w:szCs w:val="32"/>
          <w:highlight w:val="none"/>
          <w:lang w:val="en-US" w:eastAsia="zh-CN" w:bidi="ar-SA"/>
        </w:rPr>
        <w:t>3</w:t>
      </w:r>
      <w:r>
        <w:rPr>
          <w:rFonts w:hint="default" w:ascii="仿宋_GB2312" w:hAnsi="Times New Roman" w:eastAsia="仿宋_GB2312" w:cs="Times New Roman"/>
          <w:spacing w:val="0"/>
          <w:kern w:val="2"/>
          <w:sz w:val="32"/>
          <w:szCs w:val="32"/>
          <w:highlight w:val="none"/>
          <w:lang w:val="zh-CN" w:eastAsia="zh-CN" w:bidi="ar-SA"/>
        </w:rPr>
        <w:t>.卫生健康支出（类）</w:t>
      </w:r>
      <w:r>
        <w:rPr>
          <w:rFonts w:hint="eastAsia" w:ascii="仿宋_GB2312" w:hAnsi="Times New Roman" w:eastAsia="仿宋_GB2312" w:cs="Times New Roman"/>
          <w:spacing w:val="0"/>
          <w:kern w:val="2"/>
          <w:sz w:val="32"/>
          <w:szCs w:val="32"/>
          <w:highlight w:val="none"/>
          <w:lang w:val="zh-CN" w:eastAsia="zh-CN" w:bidi="ar-SA"/>
        </w:rPr>
        <w:t>412.39</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4.11</w:t>
      </w:r>
      <w:r>
        <w:rPr>
          <w:rFonts w:hint="default" w:ascii="仿宋_GB2312" w:hAnsi="Times New Roman" w:eastAsia="仿宋_GB2312" w:cs="Times New Roman"/>
          <w:spacing w:val="0"/>
          <w:kern w:val="2"/>
          <w:sz w:val="32"/>
          <w:szCs w:val="32"/>
          <w:highlight w:val="none"/>
          <w:lang w:val="zh-CN" w:eastAsia="zh-CN" w:bidi="ar-SA"/>
        </w:rPr>
        <w:t>%；</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spacing w:val="0"/>
          <w:kern w:val="2"/>
          <w:sz w:val="32"/>
          <w:szCs w:val="32"/>
          <w:highlight w:val="yellow"/>
          <w:lang w:val="en-US" w:eastAsia="zh-CN" w:bidi="ar-SA"/>
        </w:rPr>
      </w:pPr>
      <w:r>
        <w:rPr>
          <w:rFonts w:hint="eastAsia" w:ascii="仿宋_GB2312" w:eastAsia="仿宋_GB2312" w:cs="Times New Roman"/>
          <w:spacing w:val="0"/>
          <w:kern w:val="2"/>
          <w:sz w:val="32"/>
          <w:szCs w:val="32"/>
          <w:highlight w:val="none"/>
          <w:lang w:val="en-US" w:eastAsia="zh-CN" w:bidi="ar-SA"/>
        </w:rPr>
        <w:t>4.</w:t>
      </w:r>
      <w:r>
        <w:rPr>
          <w:rFonts w:hint="default" w:ascii="仿宋_GB2312" w:hAnsi="Times New Roman" w:eastAsia="仿宋_GB2312" w:cs="Times New Roman"/>
          <w:color w:val="auto"/>
          <w:spacing w:val="0"/>
          <w:kern w:val="2"/>
          <w:sz w:val="32"/>
          <w:szCs w:val="32"/>
          <w:highlight w:val="none"/>
          <w:lang w:val="zh-CN" w:eastAsia="zh-CN" w:bidi="ar-SA"/>
        </w:rPr>
        <w:t>住房保障支出（类）</w:t>
      </w:r>
      <w:r>
        <w:rPr>
          <w:rFonts w:hint="eastAsia" w:ascii="仿宋_GB2312" w:hAnsi="Times New Roman" w:eastAsia="仿宋_GB2312" w:cs="Times New Roman"/>
          <w:color w:val="auto"/>
          <w:spacing w:val="0"/>
          <w:kern w:val="2"/>
          <w:sz w:val="32"/>
          <w:szCs w:val="32"/>
          <w:highlight w:val="none"/>
          <w:lang w:val="zh-CN" w:eastAsia="zh-CN" w:bidi="ar-SA"/>
        </w:rPr>
        <w:t>341.28</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3.40</w:t>
      </w:r>
      <w:r>
        <w:rPr>
          <w:rFonts w:hint="default" w:ascii="仿宋_GB2312" w:hAnsi="Times New Roman" w:eastAsia="仿宋_GB2312" w:cs="Times New Roman"/>
          <w:color w:val="auto"/>
          <w:spacing w:val="0"/>
          <w:kern w:val="2"/>
          <w:sz w:val="32"/>
          <w:szCs w:val="32"/>
          <w:highlight w:val="none"/>
          <w:lang w:val="zh-CN" w:eastAsia="zh-CN" w:bidi="ar-SA"/>
        </w:rPr>
        <w:t>%</w:t>
      </w:r>
      <w:r>
        <w:rPr>
          <w:rFonts w:hint="eastAsia" w:ascii="仿宋_GB2312" w:eastAsia="仿宋_GB2312" w:cs="Times New Roman"/>
          <w:color w:val="auto"/>
          <w:spacing w:val="0"/>
          <w:kern w:val="2"/>
          <w:sz w:val="32"/>
          <w:szCs w:val="32"/>
          <w:highlight w:val="none"/>
          <w:lang w:val="zh-CN" w:eastAsia="zh-CN" w:bidi="ar-SA"/>
        </w:rPr>
        <w:t>。</w:t>
      </w:r>
    </w:p>
    <w:p>
      <w:pPr>
        <w:widowControl w:val="0"/>
        <w:wordWrap/>
        <w:adjustRightInd/>
        <w:snapToGrid/>
        <w:spacing w:line="240" w:lineRule="auto"/>
        <w:ind w:firstLine="640" w:firstLineChars="200"/>
        <w:jc w:val="left"/>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1.卫生健康支出（类）行政事业单位医疗（款）行政单位医疗（项）:支出决算数为190.56</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190.56</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100%，主要原因是：</w:t>
      </w:r>
      <w:r>
        <w:rPr>
          <w:rFonts w:hint="eastAsia" w:eastAsia="仿宋_GB2312" w:cs="Times New Roman"/>
          <w:kern w:val="2"/>
          <w:sz w:val="32"/>
          <w:szCs w:val="32"/>
          <w:highlight w:val="none"/>
          <w:lang w:val="en-US" w:eastAsia="zh-CN" w:bidi="ar-SA"/>
        </w:rPr>
        <w:t>上年度</w:t>
      </w:r>
      <w:r>
        <w:rPr>
          <w:rFonts w:hint="eastAsia" w:ascii="仿宋_GB2312" w:eastAsia="仿宋_GB2312"/>
          <w:sz w:val="32"/>
          <w:szCs w:val="32"/>
          <w:highlight w:val="none"/>
        </w:rPr>
        <w:t>计入行政运行科目</w:t>
      </w:r>
      <w:r>
        <w:rPr>
          <w:rFonts w:hint="eastAsia" w:ascii="仿宋_GB2312" w:eastAsia="仿宋_GB2312"/>
          <w:sz w:val="32"/>
          <w:szCs w:val="32"/>
          <w:highlight w:val="none"/>
          <w:lang w:eastAsia="zh-CN"/>
        </w:rPr>
        <w:t>，</w:t>
      </w:r>
      <w:r>
        <w:rPr>
          <w:rFonts w:hint="eastAsia" w:eastAsia="仿宋_GB2312" w:cs="Times New Roman"/>
          <w:kern w:val="2"/>
          <w:sz w:val="32"/>
          <w:szCs w:val="32"/>
          <w:highlight w:val="none"/>
          <w:lang w:val="en-US" w:eastAsia="zh-CN" w:bidi="ar-SA"/>
        </w:rPr>
        <w:t>本年度</w:t>
      </w:r>
      <w:r>
        <w:rPr>
          <w:rFonts w:hint="eastAsia" w:ascii="Times New Roman" w:hAnsi="Times New Roman" w:eastAsia="仿宋_GB2312" w:cs="Times New Roman"/>
          <w:kern w:val="2"/>
          <w:sz w:val="32"/>
          <w:szCs w:val="32"/>
          <w:highlight w:val="none"/>
          <w:lang w:val="zh-CN" w:eastAsia="zh-CN" w:bidi="ar-SA"/>
        </w:rPr>
        <w:t>职工基本医疗保险单独做功能分类</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2.卫生健康支出（类）行政事业单位医疗（款）事业单位医疗（项）:支出决算数为22.75</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22.75</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100%，主要原因是：</w:t>
      </w:r>
      <w:r>
        <w:rPr>
          <w:rFonts w:hint="eastAsia" w:eastAsia="仿宋_GB2312" w:cs="Times New Roman"/>
          <w:kern w:val="2"/>
          <w:sz w:val="32"/>
          <w:szCs w:val="32"/>
          <w:highlight w:val="none"/>
          <w:lang w:val="en-US" w:eastAsia="zh-CN" w:bidi="ar-SA"/>
        </w:rPr>
        <w:t>上年度</w:t>
      </w:r>
      <w:r>
        <w:rPr>
          <w:rFonts w:hint="eastAsia" w:ascii="仿宋_GB2312" w:eastAsia="仿宋_GB2312"/>
          <w:sz w:val="32"/>
          <w:szCs w:val="32"/>
          <w:highlight w:val="none"/>
        </w:rPr>
        <w:t>计入事业运行科目</w:t>
      </w:r>
      <w:r>
        <w:rPr>
          <w:rFonts w:hint="eastAsia" w:ascii="仿宋_GB2312" w:eastAsia="仿宋_GB2312"/>
          <w:sz w:val="32"/>
          <w:szCs w:val="32"/>
          <w:highlight w:val="none"/>
          <w:lang w:eastAsia="zh-CN"/>
        </w:rPr>
        <w:t>，本年度</w:t>
      </w:r>
      <w:r>
        <w:rPr>
          <w:rFonts w:hint="eastAsia" w:ascii="仿宋_GB2312" w:eastAsia="仿宋_GB2312"/>
          <w:sz w:val="32"/>
          <w:szCs w:val="32"/>
          <w:highlight w:val="none"/>
        </w:rPr>
        <w:t>职工基本医疗保险单独做功能分类</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3.卫生健康支出（类）行政事业单位医疗（款）公务员医疗补助（项）:支出决算数为199.08</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38.15</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23.71%，主要原因是：</w:t>
      </w:r>
      <w:r>
        <w:rPr>
          <w:rFonts w:hint="eastAsia" w:ascii="Times New Roman" w:hAnsi="Times New Roman" w:eastAsia="仿宋_GB2312" w:cs="Times New Roman"/>
          <w:kern w:val="2"/>
          <w:sz w:val="32"/>
          <w:szCs w:val="32"/>
          <w:highlight w:val="none"/>
          <w:lang w:val="zh-CN" w:eastAsia="zh-CN" w:bidi="ar-SA"/>
        </w:rPr>
        <w:t>人员正常职务职级晋升增资</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4.一般公共服务支出（类）审计事务（款）行政运行（项）:支出决算数为4,080.64</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减少</w:t>
      </w:r>
      <w:r>
        <w:rPr>
          <w:rFonts w:hint="eastAsia" w:ascii="Times New Roman" w:hAnsi="Times New Roman" w:eastAsia="仿宋_GB2312" w:cs="Times New Roman"/>
          <w:kern w:val="2"/>
          <w:sz w:val="32"/>
          <w:szCs w:val="32"/>
          <w:highlight w:val="none"/>
          <w:lang w:val="en-US" w:eastAsia="zh-CN" w:bidi="ar-SA"/>
        </w:rPr>
        <w:t>152.34</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下降</w:t>
      </w:r>
      <w:r>
        <w:rPr>
          <w:rFonts w:hint="eastAsia" w:ascii="Times New Roman" w:hAnsi="Times New Roman" w:eastAsia="仿宋_GB2312" w:cs="Times New Roman"/>
          <w:kern w:val="2"/>
          <w:sz w:val="32"/>
          <w:szCs w:val="32"/>
          <w:highlight w:val="none"/>
          <w:lang w:val="en-US" w:eastAsia="zh-CN" w:bidi="ar-SA"/>
        </w:rPr>
        <w:t>3.60%，主要原因是：</w:t>
      </w:r>
      <w:r>
        <w:rPr>
          <w:rFonts w:hint="eastAsia" w:eastAsia="仿宋_GB2312" w:cs="Times New Roman"/>
          <w:kern w:val="2"/>
          <w:sz w:val="32"/>
          <w:szCs w:val="32"/>
          <w:highlight w:val="none"/>
          <w:lang w:val="zh-CN" w:eastAsia="zh-CN" w:bidi="ar-SA"/>
        </w:rPr>
        <w:t>压减运行经费，减少开支。</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5.一般公共服务支出（类）审计事务（款）审计业务（项）:支出决算数为3,937.05</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1,863.31</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89.85%，主要原因是：</w:t>
      </w:r>
      <w:r>
        <w:rPr>
          <w:rFonts w:hint="eastAsia" w:eastAsia="仿宋_GB2312" w:cs="Times New Roman"/>
          <w:kern w:val="2"/>
          <w:sz w:val="32"/>
          <w:szCs w:val="32"/>
          <w:highlight w:val="none"/>
          <w:lang w:val="zh-CN" w:eastAsia="zh-CN" w:bidi="ar-SA"/>
        </w:rPr>
        <w:t>新增金审三期工程建设项目。</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6.住房保障支出（类）住房改革支出（款）住房公积金（项）:支出决算数为341.28</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54.16</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18.86%，主要原因是：</w:t>
      </w:r>
      <w:r>
        <w:rPr>
          <w:rFonts w:hint="eastAsia" w:ascii="Times New Roman" w:hAnsi="Times New Roman" w:eastAsia="仿宋_GB2312" w:cs="Times New Roman"/>
          <w:kern w:val="2"/>
          <w:sz w:val="32"/>
          <w:szCs w:val="32"/>
          <w:highlight w:val="none"/>
          <w:lang w:val="zh-CN" w:eastAsia="zh-CN" w:bidi="ar-SA"/>
        </w:rPr>
        <w:t>人员及正常职务职级晋升增资</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7.社会保障和就业支出（类）行政事业单位养老支出（款）事业单位离退休（项）:支出决算数为3.40</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3.40</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100%，主要原因是：</w:t>
      </w:r>
      <w:r>
        <w:rPr>
          <w:rFonts w:hint="eastAsia" w:eastAsia="仿宋_GB2312" w:cs="Times New Roman"/>
          <w:kern w:val="2"/>
          <w:sz w:val="32"/>
          <w:szCs w:val="32"/>
          <w:highlight w:val="none"/>
          <w:lang w:val="zh-CN" w:eastAsia="zh-CN" w:bidi="ar-SA"/>
        </w:rPr>
        <w:t>退休人员绩效奖。</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8.社会保障和就业支出（类）行政事业单位养老支出（款）行政单位离退休（项）:支出决算数为257.79</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减少</w:t>
      </w:r>
      <w:r>
        <w:rPr>
          <w:rFonts w:hint="eastAsia" w:ascii="Times New Roman" w:hAnsi="Times New Roman" w:eastAsia="仿宋_GB2312" w:cs="Times New Roman"/>
          <w:kern w:val="2"/>
          <w:sz w:val="32"/>
          <w:szCs w:val="32"/>
          <w:highlight w:val="none"/>
          <w:lang w:val="en-US" w:eastAsia="zh-CN" w:bidi="ar-SA"/>
        </w:rPr>
        <w:t>132.03</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下降</w:t>
      </w:r>
      <w:r>
        <w:rPr>
          <w:rFonts w:hint="eastAsia" w:ascii="Times New Roman" w:hAnsi="Times New Roman" w:eastAsia="仿宋_GB2312" w:cs="Times New Roman"/>
          <w:kern w:val="2"/>
          <w:sz w:val="32"/>
          <w:szCs w:val="32"/>
          <w:highlight w:val="none"/>
          <w:lang w:val="en-US" w:eastAsia="zh-CN" w:bidi="ar-SA"/>
        </w:rPr>
        <w:t>33.87%，主要原因是：</w:t>
      </w:r>
      <w:r>
        <w:rPr>
          <w:rFonts w:hint="eastAsia" w:eastAsia="仿宋_GB2312" w:cs="Times New Roman"/>
          <w:kern w:val="2"/>
          <w:sz w:val="32"/>
          <w:szCs w:val="32"/>
          <w:highlight w:val="none"/>
          <w:lang w:val="zh-CN" w:eastAsia="zh-CN" w:bidi="ar-SA"/>
        </w:rPr>
        <w:t>退休人员医疗补助减少。</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9.社会保障和就业支出（类）行政事业单位养老支出（款）机关事业单位职业年金缴费支出（项）:支出决算数为191.32</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191.32</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100%，主要原因是：</w:t>
      </w:r>
      <w:r>
        <w:rPr>
          <w:rFonts w:hint="eastAsia" w:eastAsia="仿宋_GB2312" w:cs="Times New Roman"/>
          <w:kern w:val="2"/>
          <w:sz w:val="32"/>
          <w:szCs w:val="32"/>
          <w:highlight w:val="none"/>
          <w:lang w:val="zh-CN" w:eastAsia="zh-CN" w:bidi="ar-SA"/>
        </w:rPr>
        <w:t>上年度受疫情影响，职业年金未申报。</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10.一般公共服务支出（类）审计事务（款）事业运行（项）:支出决算数为361.53</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1.43</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0.40%，主要原因是：</w:t>
      </w:r>
      <w:r>
        <w:rPr>
          <w:rFonts w:hint="eastAsia" w:ascii="Times New Roman" w:hAnsi="Times New Roman" w:eastAsia="仿宋_GB2312" w:cs="Times New Roman"/>
          <w:kern w:val="2"/>
          <w:sz w:val="32"/>
          <w:szCs w:val="32"/>
          <w:highlight w:val="none"/>
          <w:lang w:val="zh-CN" w:eastAsia="zh-CN" w:bidi="ar-SA"/>
        </w:rPr>
        <w:t>人员及正常职务职级晋升增资</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yellow"/>
          <w:lang w:val="zh-CN" w:eastAsia="zh-CN" w:bidi="ar-SA"/>
        </w:rPr>
      </w:pPr>
      <w:r>
        <w:rPr>
          <w:rFonts w:hint="eastAsia" w:ascii="Times New Roman" w:hAnsi="Times New Roman" w:eastAsia="仿宋_GB2312" w:cs="Times New Roman"/>
          <w:kern w:val="2"/>
          <w:sz w:val="32"/>
          <w:szCs w:val="32"/>
          <w:highlight w:val="none"/>
          <w:lang w:val="en-US" w:eastAsia="zh-CN" w:bidi="ar-SA"/>
        </w:rPr>
        <w:t>11.社会保障和就业支出（类）行政事业单位养老支出（款）机关事业单位基本养老保险缴费支出（项）:支出决算数为455.05</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72.22</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18.86%，主要原因是：</w:t>
      </w:r>
      <w:r>
        <w:rPr>
          <w:rFonts w:hint="eastAsia" w:ascii="Times New Roman" w:hAnsi="Times New Roman" w:eastAsia="仿宋_GB2312" w:cs="Times New Roman"/>
          <w:kern w:val="2"/>
          <w:sz w:val="32"/>
          <w:szCs w:val="32"/>
          <w:highlight w:val="none"/>
          <w:lang w:val="zh-CN" w:eastAsia="zh-CN" w:bidi="ar-SA"/>
        </w:rPr>
        <w:t>人员及正常职务职级晋升增资</w:t>
      </w:r>
      <w:r>
        <w:rPr>
          <w:rFonts w:hint="eastAsia" w:eastAsia="仿宋_GB2312" w:cs="Times New Roman"/>
          <w:kern w:val="2"/>
          <w:sz w:val="32"/>
          <w:szCs w:val="32"/>
          <w:highlight w:val="none"/>
          <w:lang w:val="zh-CN" w:eastAsia="zh-CN" w:bidi="ar-SA"/>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六、一般公共预算财政拨款基本支出决算情况说明</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pacing w:val="0"/>
          <w:sz w:val="32"/>
          <w:szCs w:val="32"/>
          <w:highlight w:val="none"/>
          <w:lang w:eastAsia="zh-CN"/>
        </w:rPr>
        <w:t>2023年度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eastAsia="zh-CN"/>
        </w:rPr>
        <w:t>6,103.38</w:t>
      </w:r>
      <w:r>
        <w:rPr>
          <w:rFonts w:hint="eastAsia" w:ascii="仿宋_GB2312" w:eastAsia="仿宋_GB2312"/>
          <w:sz w:val="32"/>
          <w:szCs w:val="32"/>
          <w:highlight w:val="none"/>
        </w:rPr>
        <w:t>万元，其中：人员经费</w:t>
      </w:r>
      <w:r>
        <w:rPr>
          <w:rFonts w:hint="eastAsia" w:ascii="仿宋_GB2312" w:eastAsia="仿宋_GB2312"/>
          <w:sz w:val="32"/>
          <w:szCs w:val="32"/>
          <w:highlight w:val="none"/>
          <w:lang w:eastAsia="zh-CN"/>
        </w:rPr>
        <w:t>5,456.49</w:t>
      </w:r>
      <w:r>
        <w:rPr>
          <w:rFonts w:hint="eastAsia" w:ascii="仿宋_GB2312" w:eastAsia="仿宋_GB2312"/>
          <w:sz w:val="32"/>
          <w:szCs w:val="32"/>
          <w:highlight w:val="none"/>
        </w:rPr>
        <w:t>万元，包括：</w:t>
      </w:r>
      <w:r>
        <w:rPr>
          <w:rFonts w:hint="eastAsia" w:ascii="仿宋_GB2312" w:eastAsia="仿宋_GB2312"/>
          <w:sz w:val="32"/>
          <w:szCs w:val="32"/>
          <w:highlight w:val="none"/>
          <w:lang w:val="en-US" w:eastAsia="zh-CN"/>
        </w:rPr>
        <w:t>基本工资、津贴补贴、奖金、绩效工资、机关事业单位基本养老保险缴费、职业年金缴费、职工基本医疗保险缴费、公务员医疗补助缴费、其他社会保障缴费、住房公积金、其他工资福利支出、退休费、抚恤金、奖励金、其他对个人和家庭的补助。</w:t>
      </w:r>
    </w:p>
    <w:p>
      <w:pPr>
        <w:widowControl w:val="0"/>
        <w:wordWrap/>
        <w:adjustRightInd/>
        <w:snapToGrid/>
        <w:spacing w:line="240" w:lineRule="auto"/>
        <w:ind w:firstLine="640" w:firstLineChars="200"/>
        <w:jc w:val="left"/>
        <w:textAlignment w:val="auto"/>
        <w:rPr>
          <w:rFonts w:hint="default" w:ascii="仿宋_GB2312" w:eastAsia="仿宋_GB2312"/>
          <w:sz w:val="32"/>
          <w:szCs w:val="32"/>
          <w:highlight w:val="red"/>
          <w:lang w:val="en-US"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646.89</w:t>
      </w:r>
      <w:r>
        <w:rPr>
          <w:rFonts w:hint="eastAsia" w:ascii="仿宋_GB2312" w:eastAsia="仿宋_GB2312"/>
          <w:sz w:val="32"/>
          <w:szCs w:val="32"/>
          <w:highlight w:val="none"/>
        </w:rPr>
        <w:t>万元，包括：</w:t>
      </w:r>
      <w:r>
        <w:rPr>
          <w:rFonts w:hint="eastAsia" w:ascii="仿宋_GB2312" w:eastAsia="仿宋_GB2312"/>
          <w:sz w:val="32"/>
          <w:szCs w:val="32"/>
          <w:highlight w:val="none"/>
          <w:lang w:val="en-US" w:eastAsia="zh-CN"/>
        </w:rPr>
        <w:t>办公费、水费、电费、邮电费、取暖费、物业管理费、差旅费、公务接待费、工会经费、福利费、公务用车运行维护费、其他交通费用、其他商品和服务支出</w:t>
      </w:r>
      <w:r>
        <w:rPr>
          <w:rFonts w:hint="eastAsia" w:ascii="仿宋_GB2312" w:eastAsia="仿宋_GB2312"/>
          <w:sz w:val="32"/>
          <w:szCs w:val="32"/>
          <w:highlight w:val="none"/>
          <w:lang w:eastAsia="zh-CN"/>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2023年度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lang w:val="zh-CN" w:eastAsia="zh-CN"/>
        </w:rPr>
        <w:t>“三公”经费支出</w:t>
      </w:r>
      <w:r>
        <w:rPr>
          <w:rFonts w:hint="eastAsia" w:ascii="仿宋_GB2312" w:eastAsia="仿宋_GB2312"/>
          <w:sz w:val="32"/>
          <w:szCs w:val="32"/>
          <w:highlight w:val="none"/>
          <w:lang w:val="en-US" w:eastAsia="zh-CN"/>
        </w:rPr>
        <w:t>决算</w:t>
      </w:r>
      <w:r>
        <w:rPr>
          <w:rFonts w:hint="eastAsia" w:ascii="仿宋_GB2312" w:eastAsia="仿宋_GB2312"/>
          <w:sz w:val="32"/>
          <w:szCs w:val="32"/>
          <w:highlight w:val="none"/>
          <w:lang w:val="zh-CN" w:eastAsia="zh-CN"/>
        </w:rPr>
        <w:t>44.40万元，</w:t>
      </w:r>
      <w:r>
        <w:rPr>
          <w:rFonts w:hint="eastAsia" w:ascii="仿宋_GB2312" w:eastAsia="仿宋_GB2312"/>
          <w:sz w:val="32"/>
          <w:szCs w:val="32"/>
          <w:highlight w:val="none"/>
          <w:lang w:val="en-US" w:eastAsia="zh-CN"/>
        </w:rPr>
        <w:t>比上年</w:t>
      </w:r>
      <w:r>
        <w:rPr>
          <w:rFonts w:hint="eastAsia" w:ascii="仿宋_GB2312" w:eastAsia="仿宋_GB2312"/>
          <w:sz w:val="32"/>
          <w:szCs w:val="32"/>
          <w:highlight w:val="none"/>
          <w:lang w:val="zh-CN" w:eastAsia="zh-CN"/>
        </w:rPr>
        <w:t>减少0.98万元，下降2.16%，主要原因是：</w:t>
      </w:r>
      <w:r>
        <w:rPr>
          <w:rFonts w:ascii="仿宋_GB2312" w:eastAsia="仿宋_GB2312"/>
          <w:sz w:val="32"/>
          <w:szCs w:val="32"/>
        </w:rPr>
        <w:t>审计厅认真贯彻中央八项规定和自治区十条规定精神，坚持厉行节约，压缩公务用车运行费</w:t>
      </w:r>
      <w:r>
        <w:rPr>
          <w:rFonts w:hint="eastAsia" w:ascii="仿宋_GB2312" w:eastAsia="仿宋_GB2312"/>
          <w:sz w:val="32"/>
          <w:szCs w:val="32"/>
          <w:highlight w:val="none"/>
          <w:lang w:val="zh-CN" w:eastAsia="zh-CN"/>
        </w:rPr>
        <w:t>。其中：因公出国（境）费支出0.00万元，占0.00%，比上年增加0.00万元，增长0.00%，主要原因是：</w:t>
      </w:r>
      <w:r>
        <w:rPr>
          <w:rFonts w:ascii="仿宋_GB2312" w:eastAsia="仿宋_GB2312"/>
          <w:sz w:val="32"/>
          <w:szCs w:val="32"/>
        </w:rPr>
        <w:t>我单位无因公出国（境）费</w:t>
      </w:r>
      <w:r>
        <w:rPr>
          <w:rFonts w:hint="eastAsia" w:ascii="仿宋_GB2312" w:eastAsia="仿宋_GB2312"/>
          <w:sz w:val="32"/>
          <w:szCs w:val="32"/>
          <w:highlight w:val="none"/>
          <w:lang w:val="zh-CN" w:eastAsia="zh-CN"/>
        </w:rPr>
        <w:t>；公务用车购置及运行维护费支出4</w:t>
      </w:r>
      <w:bookmarkStart w:id="48" w:name="_GoBack"/>
      <w:bookmarkEnd w:id="48"/>
      <w:r>
        <w:rPr>
          <w:rFonts w:hint="eastAsia" w:ascii="仿宋_GB2312" w:eastAsia="仿宋_GB2312"/>
          <w:sz w:val="32"/>
          <w:szCs w:val="32"/>
          <w:highlight w:val="none"/>
          <w:lang w:val="zh-CN" w:eastAsia="zh-CN"/>
        </w:rPr>
        <w:t>4.00万元，占99.10%，比上年减少1.00万元，下降2.22%，主要原因是：</w:t>
      </w:r>
      <w:r>
        <w:rPr>
          <w:rFonts w:ascii="仿宋_GB2312" w:eastAsia="仿宋_GB2312"/>
          <w:sz w:val="32"/>
          <w:szCs w:val="32"/>
        </w:rPr>
        <w:t>审计厅认真贯彻中央八项规定和自治区十条规定精神，坚持厉行节约，压缩公务用车运行费</w:t>
      </w:r>
      <w:r>
        <w:rPr>
          <w:rFonts w:hint="eastAsia" w:ascii="仿宋_GB2312" w:eastAsia="仿宋_GB2312"/>
          <w:sz w:val="32"/>
          <w:szCs w:val="32"/>
          <w:highlight w:val="none"/>
          <w:lang w:val="zh-CN" w:eastAsia="zh-CN"/>
        </w:rPr>
        <w:t>；公务接待费支出0.40万元，占0.90%，比上年增加0.02万元，增长</w:t>
      </w:r>
      <w:r>
        <w:rPr>
          <w:rFonts w:hint="eastAsia" w:ascii="仿宋_GB2312" w:eastAsia="仿宋_GB2312"/>
          <w:sz w:val="32"/>
          <w:szCs w:val="32"/>
          <w:highlight w:val="none"/>
          <w:lang w:val="en-US" w:eastAsia="zh-CN"/>
        </w:rPr>
        <w:t>5.26</w:t>
      </w:r>
      <w:r>
        <w:rPr>
          <w:rFonts w:hint="eastAsia" w:ascii="仿宋_GB2312" w:eastAsia="仿宋_GB2312"/>
          <w:sz w:val="32"/>
          <w:szCs w:val="32"/>
          <w:highlight w:val="none"/>
          <w:lang w:val="zh-CN" w:eastAsia="zh-CN"/>
        </w:rPr>
        <w:t>%，主要原因是：对口接待中国-乌兹别克斯坦地方经济合作论坛江苏省人民政府代表团，</w:t>
      </w:r>
      <w:r>
        <w:rPr>
          <w:rFonts w:hint="eastAsia" w:ascii="仿宋_GB2312" w:eastAsia="仿宋_GB2312"/>
          <w:sz w:val="32"/>
          <w:szCs w:val="32"/>
          <w:lang w:eastAsia="zh-CN"/>
        </w:rPr>
        <w:t>导致</w:t>
      </w:r>
      <w:r>
        <w:rPr>
          <w:rFonts w:ascii="仿宋_GB2312" w:eastAsia="仿宋_GB2312"/>
          <w:sz w:val="32"/>
          <w:szCs w:val="32"/>
        </w:rPr>
        <w:t>公务接待费用</w:t>
      </w:r>
      <w:r>
        <w:rPr>
          <w:rFonts w:hint="eastAsia" w:ascii="仿宋_GB2312" w:eastAsia="仿宋_GB2312"/>
          <w:sz w:val="32"/>
          <w:szCs w:val="32"/>
          <w:lang w:eastAsia="zh-CN"/>
        </w:rPr>
        <w:t>略有上涨</w:t>
      </w:r>
      <w:r>
        <w:rPr>
          <w:rFonts w:hint="eastAsia" w:ascii="仿宋_GB2312" w:eastAsia="仿宋_GB2312"/>
          <w:sz w:val="32"/>
          <w:szCs w:val="32"/>
          <w:highlight w:val="none"/>
          <w:lang w:val="zh-CN" w:eastAsia="zh-CN"/>
        </w:rPr>
        <w:t>。</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具体情况如下：</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因公出国（境）费支出0.00万元，开支内容包括</w:t>
      </w:r>
      <w:r>
        <w:rPr>
          <w:rFonts w:hint="eastAsia" w:ascii="仿宋_GB2312" w:eastAsia="仿宋_GB2312"/>
          <w:sz w:val="32"/>
          <w:szCs w:val="32"/>
        </w:rPr>
        <w:t>我单位无因公出国（境）费</w:t>
      </w:r>
      <w:r>
        <w:rPr>
          <w:rFonts w:hint="eastAsia" w:ascii="仿宋_GB2312" w:eastAsia="仿宋_GB2312"/>
          <w:sz w:val="32"/>
          <w:szCs w:val="32"/>
          <w:highlight w:val="none"/>
          <w:lang w:val="zh-CN" w:eastAsia="zh-CN"/>
        </w:rPr>
        <w:t>。单位全年安排的因公出国（境）团组0个，因公出国（境）0人次。</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zh-CN" w:eastAsia="zh-CN"/>
        </w:rPr>
        <w:t>公务用车购置及运行维护费44.00万元，其中：公务用车购置费0.00万元，公务用车运行维护费44.00万元。公务用车运行维护费开支内容包括</w:t>
      </w:r>
      <w:r>
        <w:rPr>
          <w:rFonts w:hint="eastAsia" w:ascii="仿宋_GB2312" w:eastAsia="仿宋_GB2312"/>
          <w:sz w:val="32"/>
          <w:szCs w:val="32"/>
        </w:rPr>
        <w:t>油料费、车辆保险、车辆维修、停车过路费</w:t>
      </w:r>
      <w:r>
        <w:rPr>
          <w:rFonts w:hint="eastAsia" w:ascii="仿宋_GB2312" w:eastAsia="仿宋_GB2312"/>
          <w:sz w:val="32"/>
          <w:szCs w:val="32"/>
          <w:highlight w:val="none"/>
          <w:lang w:val="zh-CN" w:eastAsia="zh-CN"/>
        </w:rPr>
        <w:t>。公务用车购置数0辆，公务用车保有量19辆。国有资产占用情况</w:t>
      </w:r>
      <w:r>
        <w:rPr>
          <w:rFonts w:hint="eastAsia" w:ascii="仿宋_GB2312" w:eastAsia="仿宋_GB2312"/>
          <w:sz w:val="32"/>
          <w:szCs w:val="32"/>
          <w:highlight w:val="none"/>
          <w:lang w:val="en-US" w:eastAsia="zh-CN"/>
        </w:rPr>
        <w:t>中固定资产车辆</w:t>
      </w:r>
      <w:r>
        <w:rPr>
          <w:rFonts w:hint="eastAsia" w:ascii="仿宋_GB2312" w:eastAsia="仿宋_GB2312"/>
          <w:sz w:val="32"/>
          <w:szCs w:val="32"/>
          <w:highlight w:val="none"/>
          <w:lang w:val="zh-CN" w:eastAsia="zh-CN"/>
        </w:rPr>
        <w:t>19辆，</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lang w:val="zh-CN" w:eastAsia="zh-CN"/>
        </w:rPr>
        <w:t>公务用车</w:t>
      </w:r>
      <w:r>
        <w:rPr>
          <w:rFonts w:hint="eastAsia" w:ascii="仿宋_GB2312" w:eastAsia="仿宋_GB2312"/>
          <w:sz w:val="32"/>
          <w:szCs w:val="32"/>
          <w:highlight w:val="none"/>
          <w:lang w:val="en-US" w:eastAsia="zh-CN"/>
        </w:rPr>
        <w:t>保有量差异</w:t>
      </w:r>
      <w:r>
        <w:rPr>
          <w:rFonts w:hint="eastAsia" w:ascii="仿宋_GB2312" w:eastAsia="仿宋_GB2312"/>
          <w:sz w:val="32"/>
          <w:szCs w:val="32"/>
          <w:highlight w:val="none"/>
          <w:lang w:val="zh-CN" w:eastAsia="zh-CN"/>
        </w:rPr>
        <w:t>原因是：无差异。</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公务接待费0.40万元，开支内容包括</w:t>
      </w:r>
      <w:r>
        <w:rPr>
          <w:rFonts w:hint="eastAsia" w:ascii="仿宋_GB2312" w:eastAsia="仿宋_GB2312"/>
          <w:sz w:val="32"/>
          <w:szCs w:val="32"/>
        </w:rPr>
        <w:t>接待审计署及对口援疆省份</w:t>
      </w:r>
      <w:r>
        <w:rPr>
          <w:rFonts w:hint="eastAsia" w:ascii="仿宋_GB2312" w:eastAsia="仿宋_GB2312"/>
          <w:sz w:val="32"/>
          <w:szCs w:val="32"/>
          <w:lang w:eastAsia="zh-CN"/>
        </w:rPr>
        <w:t>工作</w:t>
      </w:r>
      <w:r>
        <w:rPr>
          <w:rFonts w:hint="eastAsia" w:ascii="仿宋_GB2312" w:eastAsia="仿宋_GB2312"/>
          <w:sz w:val="32"/>
          <w:szCs w:val="32"/>
        </w:rPr>
        <w:t>人员</w:t>
      </w:r>
      <w:r>
        <w:rPr>
          <w:rFonts w:hint="eastAsia" w:ascii="仿宋_GB2312" w:eastAsia="仿宋_GB2312"/>
          <w:sz w:val="32"/>
          <w:szCs w:val="32"/>
          <w:highlight w:val="none"/>
          <w:lang w:val="zh-CN" w:eastAsia="zh-CN"/>
        </w:rPr>
        <w:t>。单位全年安排的国内公务接待4批次，34人次。</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预算相比</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zh-CN" w:eastAsia="zh-CN"/>
        </w:rPr>
        <w:t>财政拨款“三公”经费支出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预算数44.40万元，决算数44.40万元，预决算差异率0.00%，主要原因是：</w:t>
      </w:r>
      <w:r>
        <w:rPr>
          <w:rFonts w:hint="eastAsia" w:ascii="仿宋_GB2312" w:eastAsia="仿宋_GB2312"/>
          <w:color w:val="auto"/>
          <w:sz w:val="32"/>
          <w:szCs w:val="32"/>
          <w:lang w:eastAsia="zh-CN"/>
        </w:rPr>
        <w:t>严控费用支出，严格按预算数执行</w:t>
      </w:r>
      <w:r>
        <w:rPr>
          <w:rFonts w:hint="eastAsia" w:ascii="仿宋_GB2312" w:eastAsia="仿宋_GB2312"/>
          <w:sz w:val="32"/>
          <w:szCs w:val="32"/>
          <w:highlight w:val="none"/>
          <w:lang w:val="zh-CN" w:eastAsia="zh-CN"/>
        </w:rPr>
        <w:t>。其中：因公出国（境）费</w:t>
      </w:r>
      <w:r>
        <w:rPr>
          <w:rFonts w:hint="eastAsia" w:ascii="仿宋_GB2312" w:eastAsia="仿宋_GB2312"/>
          <w:sz w:val="32"/>
          <w:szCs w:val="32"/>
          <w:highlight w:val="none"/>
          <w:lang w:val="en-US" w:eastAsia="zh-CN"/>
        </w:rPr>
        <w:t>全年预算数</w:t>
      </w:r>
      <w:r>
        <w:rPr>
          <w:rFonts w:hint="eastAsia" w:ascii="仿宋_GB2312" w:eastAsia="仿宋_GB2312"/>
          <w:sz w:val="32"/>
          <w:szCs w:val="32"/>
          <w:highlight w:val="none"/>
          <w:lang w:val="zh-CN" w:eastAsia="zh-CN"/>
        </w:rPr>
        <w:t>0.00万元，决算数0.00万元，预决算差异率0.00%，主要原因是：</w:t>
      </w:r>
      <w:r>
        <w:rPr>
          <w:rFonts w:hint="eastAsia" w:ascii="仿宋_GB2312" w:eastAsia="仿宋_GB2312"/>
          <w:sz w:val="32"/>
          <w:szCs w:val="32"/>
        </w:rPr>
        <w:t>我单位无因公出国（境）费</w:t>
      </w:r>
      <w:r>
        <w:rPr>
          <w:rFonts w:hint="eastAsia" w:ascii="仿宋_GB2312" w:eastAsia="仿宋_GB2312"/>
          <w:sz w:val="32"/>
          <w:szCs w:val="32"/>
          <w:highlight w:val="none"/>
          <w:lang w:val="zh-CN" w:eastAsia="zh-CN"/>
        </w:rPr>
        <w:t>；公务用车购置费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预算数0.00万元，决算数0.00万元，预决算差异率0.00%，主要原因是：</w:t>
      </w:r>
      <w:r>
        <w:rPr>
          <w:rFonts w:hint="eastAsia" w:ascii="仿宋_GB2312" w:eastAsia="仿宋_GB2312"/>
          <w:sz w:val="32"/>
          <w:szCs w:val="32"/>
        </w:rPr>
        <w:t>我单位无公务用车购置费</w:t>
      </w:r>
      <w:r>
        <w:rPr>
          <w:rFonts w:hint="eastAsia" w:ascii="仿宋_GB2312" w:eastAsia="仿宋_GB2312"/>
          <w:sz w:val="32"/>
          <w:szCs w:val="32"/>
          <w:highlight w:val="none"/>
          <w:lang w:val="zh-CN" w:eastAsia="zh-CN"/>
        </w:rPr>
        <w:t>；公务用车运行费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预算数44.00万元，决算数44.00万元，预决算差异率0.00%，主要原因是：</w:t>
      </w:r>
      <w:r>
        <w:rPr>
          <w:rFonts w:hint="eastAsia" w:ascii="仿宋_GB2312" w:eastAsia="仿宋_GB2312"/>
          <w:color w:val="auto"/>
          <w:sz w:val="32"/>
          <w:szCs w:val="32"/>
          <w:lang w:eastAsia="zh-CN"/>
        </w:rPr>
        <w:t>严控费用支出，严格按预算数执行</w:t>
      </w:r>
      <w:r>
        <w:rPr>
          <w:rFonts w:hint="eastAsia" w:ascii="仿宋_GB2312" w:eastAsia="仿宋_GB2312"/>
          <w:sz w:val="32"/>
          <w:szCs w:val="32"/>
          <w:highlight w:val="none"/>
          <w:lang w:val="zh-CN" w:eastAsia="zh-CN"/>
        </w:rPr>
        <w:t>；公务接待费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预算数0.40万元，决算数0.40万元，预决算差异率0.00%，主要原因是：</w:t>
      </w:r>
      <w:r>
        <w:rPr>
          <w:rFonts w:hint="eastAsia" w:ascii="仿宋_GB2312" w:eastAsia="仿宋_GB2312"/>
          <w:color w:val="auto"/>
          <w:sz w:val="32"/>
          <w:szCs w:val="32"/>
          <w:lang w:eastAsia="zh-CN"/>
        </w:rPr>
        <w:t>严控费用支出，严格按预算数执行</w:t>
      </w:r>
      <w:r>
        <w:rPr>
          <w:rFonts w:hint="eastAsia" w:ascii="仿宋_GB2312" w:eastAsia="仿宋_GB2312"/>
          <w:sz w:val="32"/>
          <w:szCs w:val="32"/>
          <w:highlight w:val="none"/>
          <w:lang w:val="zh-CN" w:eastAsia="zh-CN"/>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8" w:name="_Toc5810"/>
      <w:bookmarkStart w:id="19"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18"/>
      <w:bookmarkEnd w:id="19"/>
    </w:p>
    <w:p>
      <w:pPr>
        <w:widowControl w:val="0"/>
        <w:numPr>
          <w:ilvl w:val="0"/>
          <w:numId w:val="0"/>
        </w:numPr>
        <w:wordWrap/>
        <w:adjustRightInd/>
        <w:snapToGrid/>
        <w:spacing w:line="240" w:lineRule="auto"/>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widowControl w:val="0"/>
        <w:numPr>
          <w:ilvl w:val="0"/>
          <w:numId w:val="0"/>
        </w:numPr>
        <w:wordWrap/>
        <w:adjustRightInd/>
        <w:snapToGrid/>
        <w:spacing w:line="240" w:lineRule="auto"/>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20" w:name="_Toc1235"/>
      <w:bookmarkStart w:id="21"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0"/>
      <w:bookmarkEnd w:id="21"/>
    </w:p>
    <w:p>
      <w:pPr>
        <w:widowControl w:val="0"/>
        <w:wordWrap/>
        <w:adjustRightInd/>
        <w:snapToGrid/>
        <w:spacing w:line="240" w:lineRule="auto"/>
        <w:ind w:firstLine="640" w:firstLineChars="200"/>
        <w:jc w:val="left"/>
        <w:textAlignment w:val="auto"/>
        <w:outlineLvl w:val="2"/>
        <w:rPr>
          <w:rFonts w:hint="eastAsia" w:ascii="黑体" w:hAnsi="黑体" w:eastAsia="黑体"/>
          <w:sz w:val="32"/>
          <w:szCs w:val="32"/>
          <w:highlight w:val="none"/>
        </w:rPr>
      </w:pPr>
      <w:bookmarkStart w:id="22" w:name="_Toc14519"/>
      <w:bookmarkStart w:id="23"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2"/>
      <w:bookmarkEnd w:id="23"/>
    </w:p>
    <w:p>
      <w:pPr>
        <w:ind w:firstLine="640" w:firstLineChars="200"/>
        <w:rPr>
          <w:rFonts w:hint="eastAsia" w:ascii="Times New Roman" w:hAnsi="Times New Roman" w:eastAsia="仿宋_GB2312" w:cs="Times New Roman"/>
          <w:sz w:val="32"/>
          <w:szCs w:val="32"/>
          <w:highlight w:val="none"/>
          <w:lang w:val="zh-CN" w:eastAsia="zh-CN"/>
        </w:rPr>
      </w:pPr>
      <w:bookmarkStart w:id="24" w:name="_Toc227"/>
      <w:bookmarkStart w:id="25" w:name="_Toc26704"/>
      <w:r>
        <w:rPr>
          <w:rFonts w:hint="eastAsia" w:ascii="Times New Roman" w:hAnsi="Times New Roman" w:eastAsia="仿宋_GB2312" w:cs="Times New Roman"/>
          <w:sz w:val="32"/>
          <w:szCs w:val="32"/>
          <w:highlight w:val="none"/>
          <w:lang w:val="zh-CN" w:eastAsia="zh-CN"/>
        </w:rPr>
        <w:t>2023年度</w:t>
      </w:r>
      <w:r>
        <w:rPr>
          <w:rFonts w:hint="eastAsia" w:ascii="Times New Roman" w:hAnsi="Times New Roman" w:eastAsia="仿宋_GB2312" w:cs="Times New Roman"/>
          <w:sz w:val="32"/>
          <w:szCs w:val="32"/>
          <w:highlight w:val="none"/>
          <w:lang w:val="en-US" w:eastAsia="zh-CN"/>
        </w:rPr>
        <w:t>新疆维吾尔自治区审计厅（行政单位和参照公务员法管理事业单位）机关运行经费支出646.89万元，比上年减少63.61万元，下降8.95%，主要原因是：</w:t>
      </w:r>
      <w:r>
        <w:rPr>
          <w:rFonts w:ascii="仿宋_GB2312" w:eastAsia="仿宋_GB2312"/>
          <w:sz w:val="32"/>
          <w:szCs w:val="32"/>
        </w:rPr>
        <w:t>坚持厉行节约，</w:t>
      </w:r>
      <w:r>
        <w:rPr>
          <w:rFonts w:hint="eastAsia" w:eastAsia="仿宋_GB2312" w:cs="Times New Roman"/>
          <w:sz w:val="32"/>
          <w:szCs w:val="32"/>
          <w:highlight w:val="none"/>
          <w:lang w:val="en-US" w:eastAsia="zh-CN"/>
        </w:rPr>
        <w:t>降低</w:t>
      </w:r>
      <w:r>
        <w:rPr>
          <w:rFonts w:hint="eastAsia" w:ascii="仿宋_GB2312" w:eastAsia="仿宋_GB2312"/>
          <w:sz w:val="32"/>
          <w:szCs w:val="32"/>
        </w:rPr>
        <w:t>机关</w:t>
      </w:r>
      <w:r>
        <w:rPr>
          <w:rFonts w:hint="eastAsia" w:ascii="仿宋_GB2312" w:eastAsia="仿宋_GB2312"/>
          <w:sz w:val="32"/>
          <w:szCs w:val="32"/>
          <w:lang w:eastAsia="zh-CN"/>
        </w:rPr>
        <w:t>成本</w:t>
      </w:r>
      <w:r>
        <w:rPr>
          <w:rFonts w:hint="eastAsia" w:ascii="Times New Roman" w:hAnsi="Times New Roman" w:eastAsia="仿宋_GB2312" w:cs="Times New Roman"/>
          <w:sz w:val="32"/>
          <w:szCs w:val="32"/>
          <w:highlight w:val="none"/>
          <w:lang w:val="en-US" w:eastAsia="zh-CN"/>
        </w:rPr>
        <w:t>。</w:t>
      </w:r>
    </w:p>
    <w:p>
      <w:pPr>
        <w:widowControl w:val="0"/>
        <w:wordWrap/>
        <w:adjustRightInd/>
        <w:snapToGrid/>
        <w:spacing w:line="240" w:lineRule="auto"/>
        <w:ind w:firstLine="640" w:firstLineChars="200"/>
        <w:jc w:val="left"/>
        <w:textAlignment w:val="auto"/>
        <w:rPr>
          <w:rFonts w:hint="eastAsia" w:ascii="Times New Roman" w:hAnsi="Times New Roman" w:eastAsia="黑体" w:cs="Times New Roman"/>
          <w:sz w:val="32"/>
          <w:szCs w:val="30"/>
          <w:highlight w:val="none"/>
          <w:lang w:val="zh-CN" w:eastAsia="zh-CN"/>
        </w:rPr>
      </w:pPr>
      <w:r>
        <w:rPr>
          <w:rFonts w:hint="eastAsia" w:ascii="Times New Roman" w:hAnsi="Times New Roman" w:eastAsia="黑体" w:cs="Times New Roman"/>
          <w:sz w:val="32"/>
          <w:szCs w:val="30"/>
          <w:highlight w:val="none"/>
          <w:lang w:val="zh-CN" w:eastAsia="zh-CN"/>
        </w:rPr>
        <w:t>（二）政府采购情况</w:t>
      </w:r>
      <w:bookmarkEnd w:id="24"/>
      <w:bookmarkEnd w:id="25"/>
    </w:p>
    <w:p>
      <w:pPr>
        <w:widowControl w:val="0"/>
        <w:wordWrap/>
        <w:adjustRightInd/>
        <w:snapToGrid/>
        <w:spacing w:line="240" w:lineRule="auto"/>
        <w:ind w:firstLine="640" w:firstLineChars="200"/>
        <w:jc w:val="left"/>
        <w:textAlignment w:val="auto"/>
        <w:rPr>
          <w:rFonts w:hint="eastAsia"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val="zh-CN" w:eastAsia="zh-CN"/>
        </w:rPr>
        <w:t>2023年度</w:t>
      </w:r>
      <w:r>
        <w:rPr>
          <w:rFonts w:hint="eastAsia" w:ascii="Times New Roman" w:hAnsi="Times New Roman" w:eastAsia="仿宋_GB2312" w:cs="Times New Roman"/>
          <w:sz w:val="32"/>
          <w:szCs w:val="32"/>
          <w:highlight w:val="none"/>
          <w:lang w:val="zh-CN"/>
        </w:rPr>
        <w:t>政府采购支出总额</w:t>
      </w:r>
      <w:r>
        <w:rPr>
          <w:rFonts w:hint="eastAsia" w:ascii="Times New Roman" w:hAnsi="Times New Roman" w:eastAsia="仿宋_GB2312" w:cs="Times New Roman"/>
          <w:sz w:val="32"/>
          <w:szCs w:val="32"/>
          <w:highlight w:val="none"/>
          <w:lang w:val="zh-CN" w:eastAsia="zh-CN"/>
        </w:rPr>
        <w:t>2,734.02万元</w:t>
      </w:r>
      <w:r>
        <w:rPr>
          <w:rFonts w:hint="eastAsia"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lang w:val="zh-CN" w:eastAsia="zh-CN"/>
        </w:rPr>
        <w:t>其中：政府采购货物支出1,766.58万元、政府采购工程支出0.00万元、政府采购服务支出967.44万元。</w:t>
      </w:r>
    </w:p>
    <w:p>
      <w:pPr>
        <w:widowControl w:val="0"/>
        <w:wordWrap/>
        <w:adjustRightInd/>
        <w:snapToGrid/>
        <w:spacing w:line="240" w:lineRule="auto"/>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zh-CN" w:eastAsia="zh-CN"/>
        </w:rPr>
        <w:t>授予中小企业合同金额1,187.95万元，占政府采购支出总额的43.45</w:t>
      </w:r>
      <w:r>
        <w:rPr>
          <w:rFonts w:hint="default" w:ascii="Times New Roman" w:hAnsi="Times New Roman" w:eastAsia="仿宋_GB2312" w:cs="Times New Roman"/>
          <w:sz w:val="32"/>
          <w:szCs w:val="32"/>
          <w:highlight w:val="none"/>
          <w:lang w:val="zh-CN" w:eastAsia="zh-CN"/>
        </w:rPr>
        <w:t>%</w:t>
      </w:r>
      <w:r>
        <w:rPr>
          <w:rFonts w:hint="eastAsia" w:ascii="Times New Roman" w:hAnsi="Times New Roman" w:eastAsia="仿宋_GB2312" w:cs="Times New Roman"/>
          <w:sz w:val="32"/>
          <w:szCs w:val="32"/>
          <w:highlight w:val="none"/>
          <w:lang w:val="zh-CN" w:eastAsia="zh-CN"/>
        </w:rPr>
        <w:t>，其中：授予小微企业合同金额1,187.95万元，占政府采购支出总额的43.45</w:t>
      </w:r>
      <w:r>
        <w:rPr>
          <w:rFonts w:hint="default" w:ascii="Times New Roman" w:hAnsi="Times New Roman" w:eastAsia="仿宋_GB2312" w:cs="Times New Roman"/>
          <w:sz w:val="32"/>
          <w:szCs w:val="32"/>
          <w:highlight w:val="none"/>
          <w:lang w:val="zh-CN" w:eastAsia="zh-CN"/>
        </w:rPr>
        <w:t>%</w:t>
      </w:r>
      <w:r>
        <w:rPr>
          <w:rFonts w:hint="eastAsia" w:ascii="Times New Roman" w:hAnsi="Times New Roman" w:eastAsia="仿宋_GB2312" w:cs="Times New Roman"/>
          <w:sz w:val="32"/>
          <w:szCs w:val="32"/>
          <w:highlight w:val="none"/>
          <w:lang w:val="en-US" w:eastAsia="zh-CN"/>
        </w:rPr>
        <w:t>。</w:t>
      </w:r>
    </w:p>
    <w:p>
      <w:pPr>
        <w:widowControl w:val="0"/>
        <w:wordWrap/>
        <w:adjustRightInd/>
        <w:snapToGrid/>
        <w:spacing w:line="240" w:lineRule="auto"/>
        <w:ind w:firstLine="640" w:firstLineChars="200"/>
        <w:jc w:val="left"/>
        <w:textAlignment w:val="auto"/>
        <w:rPr>
          <w:rFonts w:hint="eastAsia" w:ascii="Times New Roman" w:hAnsi="Times New Roman" w:eastAsia="黑体" w:cs="Times New Roman"/>
          <w:sz w:val="32"/>
          <w:szCs w:val="30"/>
          <w:highlight w:val="none"/>
          <w:lang w:val="zh-CN" w:eastAsia="zh-CN"/>
        </w:rPr>
      </w:pPr>
      <w:bookmarkStart w:id="26" w:name="_Toc8391"/>
      <w:bookmarkStart w:id="27" w:name="_Toc4591"/>
      <w:r>
        <w:rPr>
          <w:rFonts w:hint="eastAsia" w:ascii="Times New Roman" w:hAnsi="Times New Roman" w:eastAsia="黑体" w:cs="Times New Roman"/>
          <w:sz w:val="32"/>
          <w:szCs w:val="30"/>
          <w:highlight w:val="none"/>
          <w:lang w:val="zh-CN" w:eastAsia="zh-CN"/>
        </w:rPr>
        <w:t>（三）国有资产占用情况说明</w:t>
      </w:r>
      <w:bookmarkEnd w:id="26"/>
      <w:bookmarkEnd w:id="27"/>
    </w:p>
    <w:p>
      <w:pPr>
        <w:widowControl w:val="0"/>
        <w:wordWrap/>
        <w:adjustRightInd/>
        <w:snapToGrid/>
        <w:spacing w:line="240" w:lineRule="auto"/>
        <w:ind w:firstLine="640" w:firstLineChars="200"/>
        <w:jc w:val="left"/>
        <w:textAlignment w:val="auto"/>
        <w:rPr>
          <w:rFonts w:hint="eastAsia" w:ascii="Times New Roman" w:hAnsi="Times New Roman" w:eastAsia="仿宋_GB2312" w:cs="Times New Roman"/>
          <w:sz w:val="32"/>
          <w:szCs w:val="32"/>
          <w:highlight w:val="none"/>
          <w:lang w:val="zh-CN" w:eastAsia="zh-CN"/>
        </w:rPr>
      </w:pPr>
      <w:r>
        <w:rPr>
          <w:rFonts w:hint="eastAsia" w:ascii="Times New Roman" w:hAnsi="Times New Roman" w:eastAsia="仿宋_GB2312" w:cs="Times New Roman"/>
          <w:sz w:val="32"/>
          <w:szCs w:val="32"/>
          <w:highlight w:val="none"/>
          <w:lang w:val="en-US" w:eastAsia="zh-CN"/>
        </w:rPr>
        <w:t>截至2023</w:t>
      </w:r>
      <w:r>
        <w:rPr>
          <w:rFonts w:hint="eastAsia" w:ascii="Times New Roman" w:hAnsi="Times New Roman" w:eastAsia="仿宋_GB2312" w:cs="Times New Roman"/>
          <w:sz w:val="32"/>
          <w:szCs w:val="32"/>
          <w:highlight w:val="none"/>
          <w:lang w:val="zh-CN" w:eastAsia="zh-CN"/>
        </w:rPr>
        <w:t>年</w:t>
      </w:r>
      <w:r>
        <w:rPr>
          <w:rFonts w:hint="eastAsia" w:ascii="Times New Roman" w:hAnsi="Times New Roman" w:eastAsia="仿宋_GB2312" w:cs="Times New Roman"/>
          <w:sz w:val="32"/>
          <w:szCs w:val="32"/>
          <w:highlight w:val="none"/>
          <w:lang w:val="en-US" w:eastAsia="zh-CN"/>
        </w:rPr>
        <w:t>12月31日</w:t>
      </w:r>
      <w:r>
        <w:rPr>
          <w:rFonts w:hint="eastAsia" w:ascii="Times New Roman" w:hAnsi="Times New Roman" w:eastAsia="仿宋_GB2312" w:cs="Times New Roman"/>
          <w:sz w:val="32"/>
          <w:szCs w:val="32"/>
          <w:highlight w:val="none"/>
          <w:lang w:val="zh-CN" w:eastAsia="zh-CN"/>
        </w:rPr>
        <w:t>，</w:t>
      </w:r>
      <w:r>
        <w:rPr>
          <w:rFonts w:hint="eastAsia" w:ascii="Times New Roman" w:hAnsi="Times New Roman" w:eastAsia="仿宋_GB2312" w:cs="Times New Roman"/>
          <w:sz w:val="32"/>
          <w:szCs w:val="32"/>
          <w:highlight w:val="none"/>
          <w:lang w:val="en-US" w:eastAsia="zh-CN"/>
        </w:rPr>
        <w:t>固定资产原值</w:t>
      </w:r>
      <w:r>
        <w:rPr>
          <w:rFonts w:hint="eastAsia" w:ascii="Times New Roman" w:hAnsi="Times New Roman" w:eastAsia="仿宋_GB2312" w:cs="Times New Roman"/>
          <w:sz w:val="32"/>
          <w:szCs w:val="32"/>
          <w:highlight w:val="none"/>
          <w:lang w:val="zh-CN" w:eastAsia="zh-CN"/>
        </w:rPr>
        <w:t>11,641.12</w:t>
      </w:r>
      <w:r>
        <w:rPr>
          <w:rFonts w:hint="eastAsia" w:ascii="Times New Roman" w:hAnsi="Times New Roman" w:eastAsia="仿宋_GB2312" w:cs="Times New Roman"/>
          <w:sz w:val="32"/>
          <w:szCs w:val="32"/>
          <w:highlight w:val="none"/>
          <w:lang w:val="en-US" w:eastAsia="zh-CN"/>
        </w:rPr>
        <w:t>万元，房</w:t>
      </w:r>
      <w:r>
        <w:rPr>
          <w:rFonts w:hint="eastAsia" w:ascii="Times New Roman" w:hAnsi="Times New Roman" w:eastAsia="仿宋_GB2312" w:cs="Times New Roman"/>
          <w:sz w:val="32"/>
          <w:szCs w:val="32"/>
          <w:highlight w:val="none"/>
          <w:lang w:val="zh-CN" w:eastAsia="zh-CN"/>
        </w:rPr>
        <w:t>屋33129.74平方米，价值6,618.90万元。车辆19辆，价值606.05万元，其中：副部（省）级及以上领导用车0辆、主要</w:t>
      </w:r>
      <w:r>
        <w:rPr>
          <w:rFonts w:hint="eastAsia" w:ascii="Times New Roman" w:hAnsi="Times New Roman" w:eastAsia="仿宋_GB2312" w:cs="Times New Roman"/>
          <w:sz w:val="32"/>
          <w:szCs w:val="32"/>
          <w:highlight w:val="none"/>
          <w:lang w:val="en-US" w:eastAsia="zh-CN"/>
        </w:rPr>
        <w:t>负责人</w:t>
      </w:r>
      <w:r>
        <w:rPr>
          <w:rFonts w:hint="eastAsia" w:ascii="Times New Roman" w:hAnsi="Times New Roman" w:eastAsia="仿宋_GB2312" w:cs="Times New Roman"/>
          <w:sz w:val="32"/>
          <w:szCs w:val="32"/>
          <w:highlight w:val="none"/>
          <w:lang w:val="zh-CN" w:eastAsia="zh-CN"/>
        </w:rPr>
        <w:t>用车0辆、机要通信用车0辆、应急保障用车1辆、执法执勤用车0辆、特种专业技术用车0辆、离退休干部</w:t>
      </w:r>
      <w:r>
        <w:rPr>
          <w:rFonts w:hint="eastAsia" w:ascii="Times New Roman" w:hAnsi="Times New Roman" w:eastAsia="仿宋_GB2312" w:cs="Times New Roman"/>
          <w:sz w:val="32"/>
          <w:szCs w:val="32"/>
          <w:highlight w:val="none"/>
          <w:lang w:val="en-US" w:eastAsia="zh-CN"/>
        </w:rPr>
        <w:t>服务</w:t>
      </w:r>
      <w:r>
        <w:rPr>
          <w:rFonts w:hint="eastAsia" w:ascii="Times New Roman" w:hAnsi="Times New Roman" w:eastAsia="仿宋_GB2312" w:cs="Times New Roman"/>
          <w:sz w:val="32"/>
          <w:szCs w:val="32"/>
          <w:highlight w:val="none"/>
          <w:lang w:val="zh-CN" w:eastAsia="zh-CN"/>
        </w:rPr>
        <w:t>用车0辆、其他用车18辆，其他用车主要是：</w:t>
      </w:r>
      <w:r>
        <w:rPr>
          <w:rFonts w:hint="eastAsia" w:ascii="仿宋_GB2312" w:eastAsia="仿宋_GB2312"/>
          <w:sz w:val="32"/>
          <w:szCs w:val="32"/>
        </w:rPr>
        <w:t>正常公务保障用车</w:t>
      </w:r>
      <w:r>
        <w:rPr>
          <w:rFonts w:hint="eastAsia" w:ascii="Times New Roman" w:hAnsi="Times New Roman" w:eastAsia="仿宋_GB2312" w:cs="Times New Roman"/>
          <w:sz w:val="32"/>
          <w:szCs w:val="32"/>
          <w:highlight w:val="none"/>
          <w:lang w:val="zh-CN" w:eastAsia="zh-CN"/>
        </w:rPr>
        <w:t>；单价100万元（含）以上设备（不含车辆）1</w:t>
      </w:r>
      <w:r>
        <w:rPr>
          <w:rFonts w:hint="eastAsia" w:ascii="Times New Roman" w:hAnsi="Times New Roman" w:eastAsia="仿宋_GB2312" w:cs="Times New Roman"/>
          <w:sz w:val="32"/>
          <w:szCs w:val="32"/>
          <w:highlight w:val="none"/>
          <w:lang w:val="en-US" w:eastAsia="zh-CN"/>
        </w:rPr>
        <w:t>台（</w:t>
      </w:r>
      <w:r>
        <w:rPr>
          <w:rFonts w:hint="eastAsia" w:ascii="Times New Roman" w:hAnsi="Times New Roman" w:eastAsia="仿宋_GB2312" w:cs="Times New Roman"/>
          <w:sz w:val="32"/>
          <w:szCs w:val="32"/>
          <w:highlight w:val="none"/>
          <w:lang w:val="zh-CN" w:eastAsia="zh-CN"/>
        </w:rPr>
        <w:t>套）。</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28" w:name="_Toc11283"/>
      <w:bookmarkStart w:id="29"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28"/>
      <w:bookmarkEnd w:id="2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根据预算绩效管理要求，</w:t>
      </w:r>
      <w:r>
        <w:rPr>
          <w:rFonts w:hint="default" w:ascii="Times New Roman" w:hAnsi="Times New Roman" w:eastAsia="仿宋_GB2312" w:cs="Times New Roman"/>
          <w:sz w:val="32"/>
          <w:szCs w:val="32"/>
          <w:highlight w:val="none"/>
          <w:lang w:eastAsia="zh-CN"/>
        </w:rPr>
        <w:t>预算绩效评价项目</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个，</w:t>
      </w:r>
      <w:r>
        <w:rPr>
          <w:rFonts w:hint="default" w:ascii="Times New Roman" w:hAnsi="Times New Roman" w:eastAsia="仿宋_GB2312" w:cs="Times New Roman"/>
          <w:sz w:val="32"/>
          <w:szCs w:val="32"/>
          <w:highlight w:val="none"/>
          <w:lang w:val="en-US" w:eastAsia="zh-CN"/>
        </w:rPr>
        <w:t>全年预算数5</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en-US" w:eastAsia="zh-CN"/>
        </w:rPr>
        <w:t>999.63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全年执行数4</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en-US" w:eastAsia="zh-CN"/>
        </w:rPr>
        <w:t>698.94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。预算绩效</w:t>
      </w:r>
      <w:r>
        <w:rPr>
          <w:rFonts w:hint="eastAsia" w:ascii="仿宋_GB2312" w:eastAsia="仿宋_GB2312"/>
          <w:sz w:val="32"/>
          <w:szCs w:val="32"/>
          <w:highlight w:val="none"/>
          <w:lang w:eastAsia="zh-CN"/>
        </w:rPr>
        <w:t>管理取得的成效：</w:t>
      </w:r>
      <w:r>
        <w:rPr>
          <w:rFonts w:ascii="仿宋_GB2312" w:eastAsia="仿宋_GB2312"/>
          <w:sz w:val="32"/>
          <w:szCs w:val="32"/>
        </w:rPr>
        <w:t>一是充分发挥了审计在党和国家监督体系中的重要作用；二是培训社会影响力有所提升</w:t>
      </w:r>
      <w:r>
        <w:rPr>
          <w:rFonts w:hint="eastAsia" w:ascii="仿宋_GB2312" w:eastAsia="仿宋_GB2312"/>
          <w:sz w:val="32"/>
          <w:szCs w:val="32"/>
        </w:rPr>
        <w:t>。发现的问题及原因：</w:t>
      </w:r>
      <w:r>
        <w:rPr>
          <w:rFonts w:ascii="仿宋_GB2312" w:eastAsia="仿宋_GB2312"/>
          <w:sz w:val="32"/>
          <w:szCs w:val="32"/>
        </w:rPr>
        <w:t>一是科学合理设定绩效指标的水平有待提高。主要表现在数量指标、经济效益指标的设定较为保守，预期指标与实际完成指标值存在一定的偏差；二是存在指标分类不准确的现象。主要表现在数量指标与效益指标的界定不清晰，将应纳入效益指标的事项列入数量指标进行考核；三是全面实施预算绩效管理的制度建设有待加强。虽然按照要求开展了全面实施预算绩效管理的工作，但绩效管理制度有待进一步完善，绩效评价的机制不够健全</w:t>
      </w:r>
      <w:r>
        <w:rPr>
          <w:rFonts w:hint="eastAsia" w:ascii="仿宋_GB2312" w:eastAsia="仿宋_GB2312"/>
          <w:sz w:val="32"/>
          <w:szCs w:val="32"/>
        </w:rPr>
        <w:t>。下一步改进措施：</w:t>
      </w:r>
      <w:r>
        <w:rPr>
          <w:rFonts w:ascii="仿宋_GB2312" w:eastAsia="仿宋_GB2312"/>
          <w:sz w:val="32"/>
          <w:szCs w:val="32"/>
        </w:rPr>
        <w:t>提高政治站位，进一步提高全面实施预算绩效管理的思想认识。坚持以习近平新时代中国特色社会主义思想为指导，深入学习贯彻党的二十大精神，贯彻落实习近平总书记关于新疆工作和审计工作的重要论述。深入学习宣传党中央、国务院，自治区党委、自治区人民政府，自治区财政厅有关预算绩效管理各项工作要求，严格执行相关制度规定，为做好预算绩效管理工作夯实思想基础</w:t>
      </w:r>
      <w:r>
        <w:rPr>
          <w:rFonts w:hint="eastAsia" w:ascii="仿宋_GB2312" w:eastAsia="仿宋_GB2312"/>
          <w:sz w:val="32"/>
          <w:szCs w:val="32"/>
        </w:rPr>
        <w:t>。具体项目自评情况附项目支出绩效自评表。</w:t>
      </w:r>
    </w:p>
    <w:p>
      <w:pPr>
        <w:widowControl w:val="0"/>
        <w:wordWrap/>
        <w:adjustRightInd/>
        <w:snapToGrid/>
        <w:spacing w:line="240" w:lineRule="auto"/>
        <w:ind w:firstLine="640" w:firstLineChars="200"/>
        <w:jc w:val="left"/>
        <w:textAlignment w:val="auto"/>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二</w:t>
      </w:r>
      <w:r>
        <w:rPr>
          <w:rFonts w:hint="eastAsia" w:ascii="黑体" w:hAnsi="黑体" w:eastAsia="黑体" w:cs="宋体"/>
          <w:bCs/>
          <w:kern w:val="0"/>
          <w:sz w:val="32"/>
          <w:szCs w:val="32"/>
          <w:highlight w:val="none"/>
          <w:lang w:eastAsia="zh-CN"/>
        </w:rPr>
        <w:t>、其他需说明的事项</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本单位无其他需说明事项</w:t>
      </w:r>
    </w:p>
    <w:p>
      <w:pPr>
        <w:widowControl w:val="0"/>
        <w:wordWrap/>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30" w:name="_Toc3250"/>
      <w:bookmarkStart w:id="31" w:name="_Toc24143"/>
      <w:r>
        <w:rPr>
          <w:rFonts w:hint="eastAsia" w:ascii="黑体" w:hAnsi="黑体" w:eastAsia="黑体"/>
          <w:sz w:val="32"/>
          <w:szCs w:val="32"/>
          <w:highlight w:val="none"/>
        </w:rPr>
        <w:br w:type="page"/>
      </w: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部分 专业名词解释</w:t>
      </w:r>
      <w:bookmarkEnd w:id="30"/>
      <w:bookmarkEnd w:id="31"/>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一、</w:t>
      </w:r>
      <w:r>
        <w:rPr>
          <w:rFonts w:hint="eastAsia" w:ascii="仿宋_GB2312" w:eastAsia="仿宋_GB2312"/>
          <w:b/>
          <w:bCs/>
          <w:sz w:val="32"/>
          <w:szCs w:val="32"/>
          <w:highlight w:val="none"/>
        </w:rPr>
        <w:t>财政拨款收入：</w:t>
      </w:r>
      <w:r>
        <w:rPr>
          <w:rFonts w:hint="eastAsia" w:ascii="仿宋_GB2312" w:eastAsia="仿宋_GB2312"/>
          <w:sz w:val="32"/>
          <w:szCs w:val="32"/>
          <w:highlight w:val="none"/>
        </w:rPr>
        <w:t>指同级财政当年拨付的资金。</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二、</w:t>
      </w:r>
      <w:r>
        <w:rPr>
          <w:rFonts w:hint="eastAsia" w:ascii="仿宋_GB2312" w:eastAsia="仿宋_GB2312"/>
          <w:b/>
          <w:bCs/>
          <w:sz w:val="32"/>
          <w:szCs w:val="32"/>
          <w:highlight w:val="none"/>
        </w:rPr>
        <w:t>上级补助收入：</w:t>
      </w:r>
      <w:r>
        <w:rPr>
          <w:rFonts w:hint="eastAsia" w:ascii="仿宋_GB2312" w:eastAsia="仿宋_GB2312"/>
          <w:sz w:val="32"/>
          <w:szCs w:val="32"/>
          <w:highlight w:val="none"/>
        </w:rPr>
        <w:t>指事业单位从主管部门和上级单位取得的非财政补助收入。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三、</w:t>
      </w:r>
      <w:r>
        <w:rPr>
          <w:rFonts w:hint="eastAsia" w:ascii="仿宋_GB2312" w:eastAsia="仿宋_GB2312"/>
          <w:b/>
          <w:bCs/>
          <w:sz w:val="32"/>
          <w:szCs w:val="32"/>
          <w:highlight w:val="none"/>
        </w:rPr>
        <w:t>事业收入：</w:t>
      </w:r>
      <w:r>
        <w:rPr>
          <w:rFonts w:hint="eastAsia" w:ascii="仿宋_GB2312" w:eastAsia="仿宋_GB2312"/>
          <w:sz w:val="32"/>
          <w:szCs w:val="32"/>
          <w:highlight w:val="none"/>
        </w:rPr>
        <w:t>指事业单位开展专业业务活动及其辅助活动所取得的收入。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四、</w:t>
      </w:r>
      <w:r>
        <w:rPr>
          <w:rFonts w:hint="eastAsia" w:ascii="仿宋_GB2312" w:eastAsia="仿宋_GB2312"/>
          <w:b/>
          <w:bCs/>
          <w:sz w:val="32"/>
          <w:szCs w:val="32"/>
          <w:highlight w:val="none"/>
        </w:rPr>
        <w:t>经营收入：</w:t>
      </w:r>
      <w:r>
        <w:rPr>
          <w:rFonts w:hint="eastAsia" w:ascii="仿宋_GB2312" w:eastAsia="仿宋_GB2312"/>
          <w:sz w:val="32"/>
          <w:szCs w:val="32"/>
          <w:highlight w:val="none"/>
        </w:rPr>
        <w:t>指事业单位在专业业务活动及其辅助活动之外开展非独立核算经营活动取得的收入。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五、</w:t>
      </w:r>
      <w:r>
        <w:rPr>
          <w:rFonts w:hint="eastAsia" w:ascii="仿宋_GB2312" w:eastAsia="仿宋_GB2312"/>
          <w:b/>
          <w:bCs/>
          <w:sz w:val="32"/>
          <w:szCs w:val="32"/>
          <w:highlight w:val="none"/>
        </w:rPr>
        <w:t>附属单位上缴收入：</w:t>
      </w:r>
      <w:r>
        <w:rPr>
          <w:rFonts w:hint="eastAsia" w:ascii="仿宋_GB2312" w:eastAsia="仿宋_GB2312"/>
          <w:sz w:val="32"/>
          <w:szCs w:val="32"/>
          <w:highlight w:val="none"/>
        </w:rPr>
        <w:t>指事业单位附属的独立核算单位按有关规定上缴的收入。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六、</w:t>
      </w:r>
      <w:r>
        <w:rPr>
          <w:rFonts w:hint="eastAsia" w:ascii="仿宋_GB2312" w:eastAsia="仿宋_GB2312"/>
          <w:b/>
          <w:bCs/>
          <w:sz w:val="32"/>
          <w:szCs w:val="32"/>
          <w:highlight w:val="none"/>
        </w:rPr>
        <w:t>其他收入：</w:t>
      </w:r>
      <w:r>
        <w:rPr>
          <w:rFonts w:hint="eastAsia" w:ascii="仿宋_GB2312" w:eastAsia="仿宋_GB2312"/>
          <w:sz w:val="32"/>
          <w:szCs w:val="32"/>
          <w:highlight w:val="none"/>
        </w:rPr>
        <w:t>指除上述“财政拨款收入”、“事业收入”、“经营收入”、“附属单位上缴收入”等之外取得的收入。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七、</w:t>
      </w:r>
      <w:r>
        <w:rPr>
          <w:rFonts w:hint="eastAsia" w:ascii="仿宋_GB2312" w:eastAsia="仿宋_GB2312"/>
          <w:b/>
          <w:bCs/>
          <w:sz w:val="32"/>
          <w:szCs w:val="32"/>
          <w:highlight w:val="none"/>
          <w:lang w:eastAsia="zh-CN"/>
        </w:rPr>
        <w:t>年初</w:t>
      </w:r>
      <w:r>
        <w:rPr>
          <w:rFonts w:hint="eastAsia" w:ascii="仿宋_GB2312" w:eastAsia="仿宋_GB2312"/>
          <w:b/>
          <w:bCs/>
          <w:sz w:val="32"/>
          <w:szCs w:val="32"/>
          <w:highlight w:val="none"/>
        </w:rPr>
        <w:t>结转和结余：</w:t>
      </w:r>
      <w:r>
        <w:rPr>
          <w:rFonts w:hint="eastAsia" w:ascii="仿宋_GB2312" w:eastAsia="仿宋_GB2312"/>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八、</w:t>
      </w:r>
      <w:r>
        <w:rPr>
          <w:rFonts w:hint="eastAsia" w:ascii="仿宋_GB2312" w:eastAsia="仿宋_GB2312"/>
          <w:b/>
          <w:bCs/>
          <w:sz w:val="32"/>
          <w:szCs w:val="32"/>
          <w:highlight w:val="none"/>
        </w:rPr>
        <w:t>年末结转和结余：</w:t>
      </w:r>
      <w:r>
        <w:rPr>
          <w:rFonts w:hint="eastAsia" w:ascii="仿宋_GB2312" w:eastAsia="仿宋_GB2312"/>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九、</w:t>
      </w:r>
      <w:r>
        <w:rPr>
          <w:rFonts w:hint="eastAsia" w:ascii="仿宋_GB2312" w:eastAsia="仿宋_GB2312"/>
          <w:b/>
          <w:bCs/>
          <w:sz w:val="32"/>
          <w:szCs w:val="32"/>
          <w:highlight w:val="none"/>
        </w:rPr>
        <w:t>基本支出：</w:t>
      </w:r>
      <w:r>
        <w:rPr>
          <w:rFonts w:hint="eastAsia" w:ascii="仿宋_GB2312" w:eastAsia="仿宋_GB2312"/>
          <w:sz w:val="32"/>
          <w:szCs w:val="32"/>
          <w:highlight w:val="none"/>
        </w:rPr>
        <w:t>指为保障机构正常运转、完成日常工作任务而发生的人员支出和公用支出。</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w:t>
      </w:r>
      <w:r>
        <w:rPr>
          <w:rFonts w:hint="eastAsia" w:ascii="仿宋_GB2312" w:eastAsia="仿宋_GB2312"/>
          <w:b/>
          <w:bCs/>
          <w:sz w:val="32"/>
          <w:szCs w:val="32"/>
          <w:highlight w:val="none"/>
        </w:rPr>
        <w:t>项目支出：</w:t>
      </w:r>
      <w:r>
        <w:rPr>
          <w:rFonts w:hint="eastAsia" w:ascii="仿宋_GB2312" w:eastAsia="仿宋_GB2312"/>
          <w:sz w:val="32"/>
          <w:szCs w:val="32"/>
          <w:highlight w:val="none"/>
        </w:rPr>
        <w:t>指在基本支出之外为完成特定行政任务和事业发展目标所发生的支出。</w:t>
      </w:r>
    </w:p>
    <w:p>
      <w:pPr>
        <w:widowControl w:val="0"/>
        <w:wordWrap/>
        <w:autoSpaceDE w:val="0"/>
        <w:autoSpaceDN w:val="0"/>
        <w:adjustRightInd/>
        <w:snapToGrid/>
        <w:spacing w:line="240" w:lineRule="auto"/>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十一、</w:t>
      </w:r>
      <w:r>
        <w:rPr>
          <w:rFonts w:hint="eastAsia" w:ascii="仿宋_GB2312" w:eastAsia="仿宋_GB2312"/>
          <w:b/>
          <w:bCs/>
          <w:sz w:val="32"/>
          <w:szCs w:val="32"/>
          <w:highlight w:val="none"/>
        </w:rPr>
        <w:t>经营支出：</w:t>
      </w:r>
      <w:r>
        <w:rPr>
          <w:rFonts w:hint="eastAsia" w:ascii="仿宋_GB2312" w:eastAsia="仿宋_GB2312"/>
          <w:sz w:val="32"/>
          <w:szCs w:val="32"/>
          <w:highlight w:val="none"/>
        </w:rPr>
        <w:t>指事业单位在专业业务活动及其辅助活动之外开展非独立核算经营活动发生的支出。</w:t>
      </w:r>
    </w:p>
    <w:p>
      <w:pPr>
        <w:widowControl w:val="0"/>
        <w:wordWrap/>
        <w:autoSpaceDE w:val="0"/>
        <w:autoSpaceDN w:val="0"/>
        <w:adjustRightInd/>
        <w:snapToGrid/>
        <w:spacing w:line="240" w:lineRule="auto"/>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十二、</w:t>
      </w:r>
      <w:r>
        <w:rPr>
          <w:rFonts w:hint="eastAsia" w:ascii="仿宋_GB2312" w:eastAsia="仿宋_GB2312"/>
          <w:b/>
          <w:bCs/>
          <w:sz w:val="32"/>
          <w:szCs w:val="32"/>
          <w:highlight w:val="none"/>
        </w:rPr>
        <w:t>对附属单位补助支出：</w:t>
      </w:r>
      <w:r>
        <w:rPr>
          <w:rFonts w:hint="eastAsia" w:ascii="仿宋_GB2312" w:eastAsia="仿宋_GB2312"/>
          <w:sz w:val="32"/>
          <w:szCs w:val="32"/>
          <w:highlight w:val="none"/>
        </w:rPr>
        <w:t>指事业单位发生的用非财政预算资金对附属单位的补助支出。</w:t>
      </w:r>
    </w:p>
    <w:p>
      <w:pPr>
        <w:widowControl w:val="0"/>
        <w:wordWrap/>
        <w:autoSpaceDE w:val="0"/>
        <w:autoSpaceDN w:val="0"/>
        <w:adjustRightInd/>
        <w:snapToGrid/>
        <w:spacing w:line="240" w:lineRule="auto"/>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bCs/>
          <w:sz w:val="32"/>
          <w:szCs w:val="32"/>
          <w:highlight w:val="none"/>
          <w:lang w:val="en-US" w:eastAsia="zh-CN"/>
        </w:rPr>
        <w:t>十三、</w:t>
      </w:r>
      <w:r>
        <w:rPr>
          <w:rFonts w:hint="eastAsia" w:ascii="仿宋_GB2312" w:eastAsia="仿宋_GB2312"/>
          <w:b/>
          <w:bCs/>
          <w:sz w:val="32"/>
          <w:szCs w:val="32"/>
          <w:highlight w:val="none"/>
        </w:rPr>
        <w:t>“三公”经费：</w:t>
      </w:r>
      <w:r>
        <w:rPr>
          <w:rFonts w:hint="eastAsia" w:ascii="仿宋_GB2312" w:eastAsia="仿宋_GB2312"/>
          <w:sz w:val="32"/>
          <w:szCs w:val="32"/>
          <w:highlight w:val="none"/>
        </w:rPr>
        <w:t>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widowControl w:val="0"/>
        <w:wordWrap/>
        <w:adjustRightInd/>
        <w:snapToGrid/>
        <w:spacing w:line="240" w:lineRule="auto"/>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十四、</w:t>
      </w:r>
      <w:r>
        <w:rPr>
          <w:rFonts w:hint="eastAsia" w:ascii="仿宋_GB2312" w:eastAsia="仿宋_GB2312"/>
          <w:b/>
          <w:bCs/>
          <w:sz w:val="32"/>
          <w:szCs w:val="32"/>
          <w:highlight w:val="none"/>
        </w:rPr>
        <w:t>机关运行经费：</w:t>
      </w:r>
      <w:r>
        <w:rPr>
          <w:rFonts w:hint="eastAsia" w:ascii="仿宋_GB2312" w:eastAsia="仿宋_GB2312"/>
          <w:sz w:val="32"/>
          <w:szCs w:val="32"/>
          <w:highlight w:val="none"/>
        </w:rPr>
        <w:t>行政单位和参照公务员法管理的事业单位财政拨款基本支出中的公用经费支出。</w:t>
      </w:r>
    </w:p>
    <w:p>
      <w:pPr>
        <w:widowControl w:val="0"/>
        <w:wordWrap/>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r>
        <w:rPr>
          <w:rFonts w:hint="eastAsia" w:ascii="黑体" w:hAnsi="黑体" w:eastAsia="黑体"/>
          <w:sz w:val="32"/>
          <w:szCs w:val="32"/>
          <w:highlight w:val="none"/>
        </w:rPr>
        <w:t>第四部分 部门决算报表（见附表）</w:t>
      </w:r>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2" w:name="_Toc6062"/>
      <w:bookmarkStart w:id="33" w:name="_Toc2183"/>
      <w:r>
        <w:rPr>
          <w:rFonts w:hint="eastAsia" w:ascii="黑体" w:hAnsi="黑体" w:eastAsia="仿宋_GB2312" w:cs="宋体"/>
          <w:bCs/>
          <w:kern w:val="0"/>
          <w:sz w:val="32"/>
          <w:szCs w:val="32"/>
          <w:highlight w:val="none"/>
        </w:rPr>
        <w:t>一、《收入支出决算总表》</w:t>
      </w:r>
      <w:bookmarkEnd w:id="32"/>
      <w:bookmarkEnd w:id="33"/>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4" w:name="_Toc24532"/>
      <w:bookmarkStart w:id="35" w:name="_Toc30364"/>
      <w:r>
        <w:rPr>
          <w:rFonts w:hint="eastAsia" w:ascii="黑体" w:hAnsi="黑体" w:eastAsia="仿宋_GB2312" w:cs="宋体"/>
          <w:bCs/>
          <w:kern w:val="0"/>
          <w:sz w:val="32"/>
          <w:szCs w:val="32"/>
          <w:highlight w:val="none"/>
        </w:rPr>
        <w:t>二、《收入决算表》</w:t>
      </w:r>
      <w:bookmarkEnd w:id="34"/>
      <w:bookmarkEnd w:id="35"/>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6" w:name="_Toc21304"/>
      <w:bookmarkStart w:id="37" w:name="_Toc32434"/>
      <w:r>
        <w:rPr>
          <w:rFonts w:hint="eastAsia" w:ascii="黑体" w:hAnsi="黑体" w:eastAsia="仿宋_GB2312" w:cs="宋体"/>
          <w:bCs/>
          <w:kern w:val="0"/>
          <w:sz w:val="32"/>
          <w:szCs w:val="32"/>
          <w:highlight w:val="none"/>
        </w:rPr>
        <w:t>三、《支出决算表》</w:t>
      </w:r>
      <w:bookmarkEnd w:id="36"/>
      <w:bookmarkEnd w:id="37"/>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8" w:name="_Toc14238"/>
      <w:bookmarkStart w:id="39" w:name="_Toc28786"/>
      <w:r>
        <w:rPr>
          <w:rFonts w:hint="eastAsia" w:ascii="黑体" w:hAnsi="黑体" w:eastAsia="仿宋_GB2312" w:cs="宋体"/>
          <w:bCs/>
          <w:kern w:val="0"/>
          <w:sz w:val="32"/>
          <w:szCs w:val="32"/>
          <w:highlight w:val="none"/>
        </w:rPr>
        <w:t>四、《财政拨款收入支出决算总表》</w:t>
      </w:r>
      <w:bookmarkEnd w:id="38"/>
      <w:bookmarkEnd w:id="39"/>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40" w:name="_Toc10347"/>
      <w:bookmarkStart w:id="41" w:name="_Toc14869"/>
      <w:r>
        <w:rPr>
          <w:rFonts w:hint="eastAsia" w:ascii="黑体" w:hAnsi="黑体" w:eastAsia="仿宋_GB2312" w:cs="宋体"/>
          <w:bCs/>
          <w:kern w:val="0"/>
          <w:sz w:val="32"/>
          <w:szCs w:val="32"/>
          <w:highlight w:val="none"/>
        </w:rPr>
        <w:t>五、《一般公共预算财政拨款支出决算表》</w:t>
      </w:r>
      <w:bookmarkEnd w:id="40"/>
      <w:bookmarkEnd w:id="41"/>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42" w:name="_Toc5626"/>
      <w:bookmarkStart w:id="43" w:name="_Toc8884"/>
      <w:r>
        <w:rPr>
          <w:rFonts w:hint="eastAsia" w:ascii="黑体" w:hAnsi="黑体" w:eastAsia="仿宋_GB2312" w:cs="宋体"/>
          <w:bCs/>
          <w:kern w:val="0"/>
          <w:sz w:val="32"/>
          <w:szCs w:val="32"/>
          <w:highlight w:val="none"/>
        </w:rPr>
        <w:t>六、《一般公共预算财政拨款基本支出决算表》</w:t>
      </w:r>
      <w:bookmarkEnd w:id="42"/>
      <w:bookmarkEnd w:id="43"/>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r>
        <w:rPr>
          <w:rFonts w:hint="eastAsia" w:ascii="黑体" w:hAnsi="黑体" w:eastAsia="仿宋_GB2312" w:cs="宋体"/>
          <w:bCs/>
          <w:kern w:val="0"/>
          <w:sz w:val="32"/>
          <w:szCs w:val="32"/>
          <w:highlight w:val="none"/>
        </w:rPr>
        <w:t>七、</w:t>
      </w:r>
      <w:bookmarkStart w:id="44" w:name="_Toc32663"/>
      <w:bookmarkStart w:id="45" w:name="_Toc29106"/>
      <w:r>
        <w:rPr>
          <w:rFonts w:hint="eastAsia" w:ascii="黑体" w:hAnsi="黑体" w:eastAsia="仿宋_GB2312" w:cs="宋体"/>
          <w:bCs/>
          <w:kern w:val="0"/>
          <w:sz w:val="32"/>
          <w:szCs w:val="32"/>
          <w:highlight w:val="none"/>
        </w:rPr>
        <w:t>《财政拨款“三公”经费支出决算表》</w:t>
      </w:r>
      <w:bookmarkEnd w:id="44"/>
      <w:bookmarkEnd w:id="45"/>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46" w:name="_Toc7643"/>
      <w:bookmarkStart w:id="47" w:name="_Toc5453"/>
      <w:r>
        <w:rPr>
          <w:rFonts w:hint="eastAsia" w:ascii="黑体" w:hAnsi="黑体" w:eastAsia="仿宋_GB2312" w:cs="宋体"/>
          <w:bCs/>
          <w:kern w:val="0"/>
          <w:sz w:val="32"/>
          <w:szCs w:val="32"/>
          <w:highlight w:val="none"/>
        </w:rPr>
        <w:t>八、《政府性基金预算财政拨款收入支出决算表》</w:t>
      </w:r>
      <w:bookmarkEnd w:id="46"/>
      <w:bookmarkEnd w:id="47"/>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r>
        <w:rPr>
          <w:rFonts w:hint="eastAsia" w:ascii="黑体" w:hAnsi="黑体" w:eastAsia="仿宋_GB2312" w:cs="宋体"/>
          <w:bCs/>
          <w:kern w:val="0"/>
          <w:sz w:val="32"/>
          <w:szCs w:val="32"/>
          <w:highlight w:val="none"/>
          <w:lang w:val="en-US" w:eastAsia="zh-CN"/>
        </w:rPr>
        <w:t>九</w:t>
      </w:r>
      <w:r>
        <w:rPr>
          <w:rFonts w:hint="eastAsia" w:ascii="黑体" w:hAnsi="黑体" w:eastAsia="仿宋_GB2312" w:cs="宋体"/>
          <w:bCs/>
          <w:kern w:val="0"/>
          <w:sz w:val="32"/>
          <w:szCs w:val="32"/>
          <w:highlight w:val="none"/>
        </w:rPr>
        <w:t>、《</w:t>
      </w:r>
      <w:r>
        <w:rPr>
          <w:rFonts w:hint="eastAsia" w:ascii="黑体" w:hAnsi="黑体" w:eastAsia="仿宋_GB2312" w:cs="宋体"/>
          <w:bCs/>
          <w:kern w:val="0"/>
          <w:sz w:val="32"/>
          <w:szCs w:val="32"/>
          <w:highlight w:val="none"/>
          <w:lang w:eastAsia="zh-CN"/>
        </w:rPr>
        <w:t>国有资本经营</w:t>
      </w:r>
      <w:r>
        <w:rPr>
          <w:rFonts w:hint="eastAsia" w:ascii="黑体" w:hAnsi="黑体" w:eastAsia="仿宋_GB2312" w:cs="宋体"/>
          <w:bCs/>
          <w:kern w:val="0"/>
          <w:sz w:val="32"/>
          <w:szCs w:val="32"/>
          <w:highlight w:val="none"/>
        </w:rPr>
        <w:t>预算财政拨款收入支出决算表》</w:t>
      </w:r>
    </w:p>
    <w:p>
      <w:pPr>
        <w:widowControl w:val="0"/>
        <w:wordWrap/>
        <w:adjustRightInd/>
        <w:snapToGrid/>
        <w:spacing w:line="240" w:lineRule="auto"/>
        <w:ind w:firstLine="640" w:firstLineChars="200"/>
        <w:textAlignment w:val="auto"/>
        <w:rPr>
          <w:rFonts w:hint="eastAsia" w:ascii="仿宋_GB2312" w:eastAsia="仿宋_GB2312"/>
          <w:sz w:val="32"/>
          <w:szCs w:val="32"/>
          <w:highlight w:val="none"/>
        </w:rPr>
      </w:pPr>
    </w:p>
    <w:p>
      <w:pPr>
        <w:widowControl w:val="0"/>
        <w:wordWrap/>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AyOGZmZWJiZjkzMTc5MjUxM2FlYjUzNmFjOTJhZmYifQ=="/>
  </w:docVars>
  <w:rsids>
    <w:rsidRoot w:val="00000000"/>
    <w:rsid w:val="00213C59"/>
    <w:rsid w:val="003210CE"/>
    <w:rsid w:val="00B70D59"/>
    <w:rsid w:val="019404F8"/>
    <w:rsid w:val="01E305D4"/>
    <w:rsid w:val="02F73D26"/>
    <w:rsid w:val="034D4FEF"/>
    <w:rsid w:val="035D1785"/>
    <w:rsid w:val="039F47CE"/>
    <w:rsid w:val="03E05CE8"/>
    <w:rsid w:val="03F973EE"/>
    <w:rsid w:val="043E5B56"/>
    <w:rsid w:val="04C04386"/>
    <w:rsid w:val="04FA68C4"/>
    <w:rsid w:val="05336079"/>
    <w:rsid w:val="053F5AE6"/>
    <w:rsid w:val="057C0B0F"/>
    <w:rsid w:val="05EF4B48"/>
    <w:rsid w:val="05F76ECA"/>
    <w:rsid w:val="06792773"/>
    <w:rsid w:val="07093795"/>
    <w:rsid w:val="07804730"/>
    <w:rsid w:val="079052BE"/>
    <w:rsid w:val="08422688"/>
    <w:rsid w:val="0879188F"/>
    <w:rsid w:val="08A0354D"/>
    <w:rsid w:val="08CD4C49"/>
    <w:rsid w:val="09114954"/>
    <w:rsid w:val="095A5B83"/>
    <w:rsid w:val="096466E3"/>
    <w:rsid w:val="0968304D"/>
    <w:rsid w:val="09AF3D17"/>
    <w:rsid w:val="0A7B4867"/>
    <w:rsid w:val="0A840954"/>
    <w:rsid w:val="0A9928ED"/>
    <w:rsid w:val="0B8C3ECC"/>
    <w:rsid w:val="0B9C639D"/>
    <w:rsid w:val="0BB052B2"/>
    <w:rsid w:val="0BD33FFC"/>
    <w:rsid w:val="0BE97AC1"/>
    <w:rsid w:val="0C1C4780"/>
    <w:rsid w:val="0C3613A3"/>
    <w:rsid w:val="0C5E519C"/>
    <w:rsid w:val="0C7227A7"/>
    <w:rsid w:val="0CA52EE8"/>
    <w:rsid w:val="0CBD6988"/>
    <w:rsid w:val="0CD208AC"/>
    <w:rsid w:val="0D4903E8"/>
    <w:rsid w:val="0E640559"/>
    <w:rsid w:val="0F1113DA"/>
    <w:rsid w:val="0F78534A"/>
    <w:rsid w:val="0F89358A"/>
    <w:rsid w:val="0F8C6D51"/>
    <w:rsid w:val="105B0B5E"/>
    <w:rsid w:val="10E81560"/>
    <w:rsid w:val="112E58D0"/>
    <w:rsid w:val="11642863"/>
    <w:rsid w:val="11731CAC"/>
    <w:rsid w:val="119500A0"/>
    <w:rsid w:val="11C0733B"/>
    <w:rsid w:val="120E0809"/>
    <w:rsid w:val="127F665A"/>
    <w:rsid w:val="12F7068C"/>
    <w:rsid w:val="14B932DA"/>
    <w:rsid w:val="154C1139"/>
    <w:rsid w:val="158C5B77"/>
    <w:rsid w:val="160D1149"/>
    <w:rsid w:val="163563C0"/>
    <w:rsid w:val="164315EF"/>
    <w:rsid w:val="167268FB"/>
    <w:rsid w:val="16D50C50"/>
    <w:rsid w:val="16E120E1"/>
    <w:rsid w:val="17385A05"/>
    <w:rsid w:val="173B3901"/>
    <w:rsid w:val="176747F9"/>
    <w:rsid w:val="17954A6E"/>
    <w:rsid w:val="180059E9"/>
    <w:rsid w:val="184510FD"/>
    <w:rsid w:val="190648B0"/>
    <w:rsid w:val="19071D6C"/>
    <w:rsid w:val="19D26CD4"/>
    <w:rsid w:val="19E60D19"/>
    <w:rsid w:val="1A3E3450"/>
    <w:rsid w:val="1AD807E5"/>
    <w:rsid w:val="1B39345B"/>
    <w:rsid w:val="1C290ED5"/>
    <w:rsid w:val="1C317E4F"/>
    <w:rsid w:val="1C472464"/>
    <w:rsid w:val="1CAB1FDF"/>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3326B7F"/>
    <w:rsid w:val="2380045B"/>
    <w:rsid w:val="23BC04D2"/>
    <w:rsid w:val="2483647E"/>
    <w:rsid w:val="24A32D55"/>
    <w:rsid w:val="25292727"/>
    <w:rsid w:val="256F7692"/>
    <w:rsid w:val="25BA2154"/>
    <w:rsid w:val="25C8773F"/>
    <w:rsid w:val="264A7253"/>
    <w:rsid w:val="27201D62"/>
    <w:rsid w:val="27286E73"/>
    <w:rsid w:val="27CF2642"/>
    <w:rsid w:val="27E777F5"/>
    <w:rsid w:val="27EA1D4C"/>
    <w:rsid w:val="27EA2E41"/>
    <w:rsid w:val="282459E2"/>
    <w:rsid w:val="283A7FE5"/>
    <w:rsid w:val="285F51FF"/>
    <w:rsid w:val="28DF2665"/>
    <w:rsid w:val="29072599"/>
    <w:rsid w:val="291029F3"/>
    <w:rsid w:val="29CB58F0"/>
    <w:rsid w:val="2A053397"/>
    <w:rsid w:val="2A145E96"/>
    <w:rsid w:val="2AF5378F"/>
    <w:rsid w:val="2BB94DBF"/>
    <w:rsid w:val="2C6F314E"/>
    <w:rsid w:val="2CC206BE"/>
    <w:rsid w:val="2D1136DF"/>
    <w:rsid w:val="2D20606D"/>
    <w:rsid w:val="2DB87198"/>
    <w:rsid w:val="2DB93C54"/>
    <w:rsid w:val="2E3D144C"/>
    <w:rsid w:val="2E891204"/>
    <w:rsid w:val="2ECF3BDE"/>
    <w:rsid w:val="2F3F0A28"/>
    <w:rsid w:val="2FBF7029"/>
    <w:rsid w:val="2FD0187F"/>
    <w:rsid w:val="2FD27414"/>
    <w:rsid w:val="2FFE4BB0"/>
    <w:rsid w:val="300E7B60"/>
    <w:rsid w:val="300F6E18"/>
    <w:rsid w:val="30862F5F"/>
    <w:rsid w:val="314029C9"/>
    <w:rsid w:val="31C63837"/>
    <w:rsid w:val="31C82E39"/>
    <w:rsid w:val="32601BAD"/>
    <w:rsid w:val="3389023A"/>
    <w:rsid w:val="33CB74FA"/>
    <w:rsid w:val="340B6669"/>
    <w:rsid w:val="343642F2"/>
    <w:rsid w:val="343F3010"/>
    <w:rsid w:val="345D0A00"/>
    <w:rsid w:val="34713BFD"/>
    <w:rsid w:val="34C13589"/>
    <w:rsid w:val="35E00D72"/>
    <w:rsid w:val="36965B9D"/>
    <w:rsid w:val="36C549FD"/>
    <w:rsid w:val="37A755DD"/>
    <w:rsid w:val="37F94FA0"/>
    <w:rsid w:val="38115B1F"/>
    <w:rsid w:val="385E3AC3"/>
    <w:rsid w:val="387D6B9E"/>
    <w:rsid w:val="38B75FF0"/>
    <w:rsid w:val="38D45016"/>
    <w:rsid w:val="38D90432"/>
    <w:rsid w:val="3914510A"/>
    <w:rsid w:val="3926770B"/>
    <w:rsid w:val="398D3668"/>
    <w:rsid w:val="39DA0497"/>
    <w:rsid w:val="3A893816"/>
    <w:rsid w:val="3A893B6D"/>
    <w:rsid w:val="3AD1763A"/>
    <w:rsid w:val="3B6716E3"/>
    <w:rsid w:val="3B6C6B2D"/>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DB7422"/>
    <w:rsid w:val="3EEC6CEF"/>
    <w:rsid w:val="3F183429"/>
    <w:rsid w:val="3FB77A1D"/>
    <w:rsid w:val="3FED7F8A"/>
    <w:rsid w:val="40094AEF"/>
    <w:rsid w:val="405470BD"/>
    <w:rsid w:val="40794A29"/>
    <w:rsid w:val="40834692"/>
    <w:rsid w:val="414B3C0F"/>
    <w:rsid w:val="417C1CE7"/>
    <w:rsid w:val="41900018"/>
    <w:rsid w:val="41944406"/>
    <w:rsid w:val="41CE128F"/>
    <w:rsid w:val="41DA6F12"/>
    <w:rsid w:val="42171FB1"/>
    <w:rsid w:val="434E6957"/>
    <w:rsid w:val="43BA0E31"/>
    <w:rsid w:val="43C15147"/>
    <w:rsid w:val="43E14DD2"/>
    <w:rsid w:val="43F800E9"/>
    <w:rsid w:val="443A7E4B"/>
    <w:rsid w:val="452F5B3A"/>
    <w:rsid w:val="454E7FD2"/>
    <w:rsid w:val="46061BDC"/>
    <w:rsid w:val="461404F8"/>
    <w:rsid w:val="46413018"/>
    <w:rsid w:val="464B7E04"/>
    <w:rsid w:val="468041AA"/>
    <w:rsid w:val="468123C6"/>
    <w:rsid w:val="46901EEE"/>
    <w:rsid w:val="469C74D2"/>
    <w:rsid w:val="47445515"/>
    <w:rsid w:val="47D90D14"/>
    <w:rsid w:val="47E9007F"/>
    <w:rsid w:val="48387FB0"/>
    <w:rsid w:val="483A6114"/>
    <w:rsid w:val="488727DB"/>
    <w:rsid w:val="48C354B3"/>
    <w:rsid w:val="493D58B5"/>
    <w:rsid w:val="494A7A04"/>
    <w:rsid w:val="4A2019A5"/>
    <w:rsid w:val="4A241A0B"/>
    <w:rsid w:val="4A7B2875"/>
    <w:rsid w:val="4A934476"/>
    <w:rsid w:val="4AAA220A"/>
    <w:rsid w:val="4AE12E67"/>
    <w:rsid w:val="4B4C0111"/>
    <w:rsid w:val="4BDB3730"/>
    <w:rsid w:val="4C200F7A"/>
    <w:rsid w:val="4CEE3180"/>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B5F45"/>
    <w:rsid w:val="51025EB1"/>
    <w:rsid w:val="51141503"/>
    <w:rsid w:val="518D0ED5"/>
    <w:rsid w:val="52F647F7"/>
    <w:rsid w:val="52F92565"/>
    <w:rsid w:val="53D03877"/>
    <w:rsid w:val="542F73CA"/>
    <w:rsid w:val="5430786D"/>
    <w:rsid w:val="556A442D"/>
    <w:rsid w:val="55DA564E"/>
    <w:rsid w:val="5604127D"/>
    <w:rsid w:val="56166703"/>
    <w:rsid w:val="56510474"/>
    <w:rsid w:val="566370C4"/>
    <w:rsid w:val="56861525"/>
    <w:rsid w:val="56A93273"/>
    <w:rsid w:val="56BD550C"/>
    <w:rsid w:val="56E07045"/>
    <w:rsid w:val="56FF28AF"/>
    <w:rsid w:val="57540E7D"/>
    <w:rsid w:val="577B4878"/>
    <w:rsid w:val="57926973"/>
    <w:rsid w:val="58175352"/>
    <w:rsid w:val="581F2200"/>
    <w:rsid w:val="583059FA"/>
    <w:rsid w:val="584A0929"/>
    <w:rsid w:val="58CD2491"/>
    <w:rsid w:val="59002A7B"/>
    <w:rsid w:val="591B41B2"/>
    <w:rsid w:val="59254A26"/>
    <w:rsid w:val="59326325"/>
    <w:rsid w:val="595C505B"/>
    <w:rsid w:val="595E55C3"/>
    <w:rsid w:val="596E7E20"/>
    <w:rsid w:val="5A60780B"/>
    <w:rsid w:val="5AB34579"/>
    <w:rsid w:val="5AFC6609"/>
    <w:rsid w:val="5BD456CE"/>
    <w:rsid w:val="5C0D1F49"/>
    <w:rsid w:val="5CBB0CE2"/>
    <w:rsid w:val="5CC17177"/>
    <w:rsid w:val="5CF306BC"/>
    <w:rsid w:val="5D3F3D64"/>
    <w:rsid w:val="5D833043"/>
    <w:rsid w:val="5DD92690"/>
    <w:rsid w:val="5DDB1CFD"/>
    <w:rsid w:val="5E7E6D93"/>
    <w:rsid w:val="5ED44800"/>
    <w:rsid w:val="5F350BDE"/>
    <w:rsid w:val="5FA17648"/>
    <w:rsid w:val="5FE705CB"/>
    <w:rsid w:val="603D5080"/>
    <w:rsid w:val="60D0261B"/>
    <w:rsid w:val="61947DCA"/>
    <w:rsid w:val="61A46A97"/>
    <w:rsid w:val="61D1382F"/>
    <w:rsid w:val="61F114A2"/>
    <w:rsid w:val="62512BB4"/>
    <w:rsid w:val="625D7D1A"/>
    <w:rsid w:val="62DD7D21"/>
    <w:rsid w:val="637D586B"/>
    <w:rsid w:val="63A5560B"/>
    <w:rsid w:val="63E9091F"/>
    <w:rsid w:val="64D6010D"/>
    <w:rsid w:val="64D82665"/>
    <w:rsid w:val="64E47C96"/>
    <w:rsid w:val="651E5741"/>
    <w:rsid w:val="658A4877"/>
    <w:rsid w:val="65A00902"/>
    <w:rsid w:val="65AC6EDD"/>
    <w:rsid w:val="65D97752"/>
    <w:rsid w:val="66085536"/>
    <w:rsid w:val="66105BF7"/>
    <w:rsid w:val="66150023"/>
    <w:rsid w:val="6628010D"/>
    <w:rsid w:val="669B4528"/>
    <w:rsid w:val="66CC12D7"/>
    <w:rsid w:val="67134CEF"/>
    <w:rsid w:val="671F1ABD"/>
    <w:rsid w:val="67521A59"/>
    <w:rsid w:val="67C304AB"/>
    <w:rsid w:val="683F0658"/>
    <w:rsid w:val="689C6793"/>
    <w:rsid w:val="68DB0208"/>
    <w:rsid w:val="68FB170C"/>
    <w:rsid w:val="691B3D98"/>
    <w:rsid w:val="693748F0"/>
    <w:rsid w:val="69846A0E"/>
    <w:rsid w:val="69AD798C"/>
    <w:rsid w:val="69D005C0"/>
    <w:rsid w:val="69D80B96"/>
    <w:rsid w:val="6A586DCB"/>
    <w:rsid w:val="6B68175F"/>
    <w:rsid w:val="6BFD799F"/>
    <w:rsid w:val="6C4A2E5A"/>
    <w:rsid w:val="6CEF0725"/>
    <w:rsid w:val="6D4B2604"/>
    <w:rsid w:val="6D8030E4"/>
    <w:rsid w:val="6E0E35C4"/>
    <w:rsid w:val="6E0F7A08"/>
    <w:rsid w:val="6E3947F5"/>
    <w:rsid w:val="6E9C74ED"/>
    <w:rsid w:val="6EF72976"/>
    <w:rsid w:val="6F795A80"/>
    <w:rsid w:val="6F7C1D2E"/>
    <w:rsid w:val="6F8E0407"/>
    <w:rsid w:val="6FDD069F"/>
    <w:rsid w:val="702B4D16"/>
    <w:rsid w:val="70AA6621"/>
    <w:rsid w:val="7111480F"/>
    <w:rsid w:val="71261F49"/>
    <w:rsid w:val="712E6956"/>
    <w:rsid w:val="71473612"/>
    <w:rsid w:val="71504F32"/>
    <w:rsid w:val="7152309F"/>
    <w:rsid w:val="718F7F65"/>
    <w:rsid w:val="727B234E"/>
    <w:rsid w:val="72D068C7"/>
    <w:rsid w:val="72E42ED8"/>
    <w:rsid w:val="735F4CB9"/>
    <w:rsid w:val="73674C62"/>
    <w:rsid w:val="73845865"/>
    <w:rsid w:val="739B6D9E"/>
    <w:rsid w:val="73BC1D76"/>
    <w:rsid w:val="73FB6630"/>
    <w:rsid w:val="748D790E"/>
    <w:rsid w:val="749820CC"/>
    <w:rsid w:val="74CE04EC"/>
    <w:rsid w:val="74E76DCD"/>
    <w:rsid w:val="75722D56"/>
    <w:rsid w:val="75DB5477"/>
    <w:rsid w:val="75FC6AC3"/>
    <w:rsid w:val="7604550A"/>
    <w:rsid w:val="7616619B"/>
    <w:rsid w:val="761B779A"/>
    <w:rsid w:val="76660D7C"/>
    <w:rsid w:val="766C5968"/>
    <w:rsid w:val="76BE0C8F"/>
    <w:rsid w:val="76CD53B2"/>
    <w:rsid w:val="770719AC"/>
    <w:rsid w:val="776526CC"/>
    <w:rsid w:val="77A262E1"/>
    <w:rsid w:val="77B13C33"/>
    <w:rsid w:val="77ED6F44"/>
    <w:rsid w:val="77F33899"/>
    <w:rsid w:val="77F45548"/>
    <w:rsid w:val="784E7CA6"/>
    <w:rsid w:val="78574801"/>
    <w:rsid w:val="7873527F"/>
    <w:rsid w:val="790E2D96"/>
    <w:rsid w:val="791B54B2"/>
    <w:rsid w:val="79376C80"/>
    <w:rsid w:val="795A0A34"/>
    <w:rsid w:val="79F00650"/>
    <w:rsid w:val="7A6242BF"/>
    <w:rsid w:val="7AE952D2"/>
    <w:rsid w:val="7C976D69"/>
    <w:rsid w:val="7CD752DA"/>
    <w:rsid w:val="7CDE40AB"/>
    <w:rsid w:val="7D1548B5"/>
    <w:rsid w:val="7DF84014"/>
    <w:rsid w:val="7E207949"/>
    <w:rsid w:val="7E670C75"/>
    <w:rsid w:val="7EDF377B"/>
    <w:rsid w:val="7EE24272"/>
    <w:rsid w:val="7EEA6053"/>
    <w:rsid w:val="7F487C04"/>
    <w:rsid w:val="7FB45F21"/>
    <w:rsid w:val="7FE570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Strong"/>
    <w:basedOn w:val="9"/>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lang w:val="en-US" w:eastAsia="zh-CN" w:bidi="ar-SA"/>
    </w:rPr>
  </w:style>
  <w:style w:type="paragraph" w:customStyle="1" w:styleId="1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6508</Words>
  <Characters>21857</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2024-10-12T09:14:04Z</dcterms:modified>
  <dc:title>新疆维吾尔自治区审计厅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34A4DC6C1FEF42448F61363EE04F5F4F_13</vt:lpwstr>
  </property>
</Properties>
</file>