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textAlignment w:val="auto"/>
        <w:rPr>
          <w:rFonts w:ascii="黑体" w:hAnsi="黑体" w:eastAsia="黑体"/>
          <w:sz w:val="32"/>
          <w:szCs w:val="32"/>
          <w:highlight w:val="none"/>
        </w:rPr>
      </w:pPr>
    </w:p>
    <w:p>
      <w:pPr>
        <w:widowControl w:val="0"/>
        <w:wordWrap/>
        <w:adjustRightInd/>
        <w:snapToGrid/>
        <w:spacing w:line="240" w:lineRule="auto"/>
        <w:jc w:val="center"/>
        <w:textAlignment w:val="auto"/>
        <w:rPr>
          <w:rFonts w:hint="eastAsia" w:ascii="方正小标宋_GBK" w:hAnsi="宋体" w:eastAsia="方正小标宋_GBK"/>
          <w:sz w:val="44"/>
          <w:szCs w:val="44"/>
          <w:highlight w:val="none"/>
        </w:rPr>
      </w:pPr>
    </w:p>
    <w:p>
      <w:pPr>
        <w:widowControl w:val="0"/>
        <w:wordWrap/>
        <w:adjustRightInd/>
        <w:snapToGrid/>
        <w:spacing w:line="240" w:lineRule="auto"/>
        <w:jc w:val="center"/>
        <w:textAlignment w:val="auto"/>
        <w:rPr>
          <w:rFonts w:hint="eastAsia" w:ascii="方正小标宋_GBK" w:hAnsi="宋体" w:eastAsia="方正小标宋_GBK"/>
          <w:sz w:val="44"/>
          <w:szCs w:val="44"/>
          <w:highlight w:val="none"/>
          <w:lang w:val="en-US" w:eastAsia="zh-CN"/>
        </w:rPr>
      </w:pPr>
      <w:r>
        <w:rPr>
          <w:rFonts w:hint="eastAsia" w:ascii="方正小标宋_GBK" w:hAnsi="宋体" w:eastAsia="方正小标宋_GBK"/>
          <w:sz w:val="44"/>
          <w:szCs w:val="44"/>
          <w:highlight w:val="none"/>
          <w:lang w:val="en-US" w:eastAsia="zh-CN"/>
        </w:rPr>
        <w:t>新疆维吾尔自治区审计厅机关服务中心</w:t>
      </w:r>
    </w:p>
    <w:p>
      <w:pPr>
        <w:widowControl w:val="0"/>
        <w:wordWrap/>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eastAsia="zh-CN"/>
        </w:rPr>
        <w:t xml:space="preserve"> 2023年度</w:t>
      </w:r>
      <w:r>
        <w:rPr>
          <w:rFonts w:hint="eastAsia" w:ascii="方正小标宋_GBK" w:hAnsi="宋体" w:eastAsia="方正小标宋_GBK"/>
          <w:sz w:val="44"/>
          <w:szCs w:val="44"/>
          <w:highlight w:val="none"/>
        </w:rPr>
        <w:t>部门决算</w:t>
      </w:r>
    </w:p>
    <w:p>
      <w:pPr>
        <w:widowControl w:val="0"/>
        <w:wordWrap/>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br w:type="page"/>
      </w:r>
    </w:p>
    <w:p>
      <w:pPr>
        <w:widowControl w:val="0"/>
        <w:wordWrap/>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bCs w:val="0"/>
          <w:kern w:val="0"/>
          <w:sz w:val="36"/>
          <w:szCs w:val="36"/>
          <w:highlight w:val="none"/>
        </w:rPr>
        <w:t>目  录</w:t>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 xml:space="preserve">第一部分 </w:t>
      </w:r>
      <w:r>
        <w:rPr>
          <w:rFonts w:hint="eastAsia" w:ascii="仿宋_GB2312" w:hAnsi="仿宋_GB2312" w:eastAsia="仿宋_GB2312" w:cs="仿宋_GB2312"/>
          <w:b/>
          <w:bCs/>
          <w:sz w:val="32"/>
          <w:szCs w:val="32"/>
          <w:highlight w:val="none"/>
          <w:lang w:eastAsia="zh-CN"/>
        </w:rPr>
        <w:t>单位</w:t>
      </w:r>
      <w:r>
        <w:rPr>
          <w:rFonts w:hint="eastAsia" w:ascii="仿宋_GB2312" w:hAnsi="仿宋_GB2312" w:eastAsia="仿宋_GB2312" w:cs="仿宋_GB2312"/>
          <w:b/>
          <w:bCs/>
          <w:sz w:val="32"/>
          <w:szCs w:val="32"/>
          <w:highlight w:val="none"/>
        </w:rPr>
        <w:t>概况</w:t>
      </w:r>
      <w:r>
        <w:rPr>
          <w:rFonts w:hint="eastAsia" w:ascii="仿宋_GB2312" w:hAnsi="仿宋_GB2312" w:eastAsia="仿宋_GB2312" w:cs="仿宋_GB2312"/>
          <w:b/>
          <w:bCs/>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十二、其他需说明的事项</w:t>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widowControl w:val="0"/>
        <w:wordWrap/>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rPr>
          <w:rFonts w:hint="eastAsia" w:ascii="仿宋_GB2312" w:eastAsia="仿宋_GB2312"/>
          <w:sz w:val="32"/>
          <w:szCs w:val="32"/>
          <w:highlight w:val="none"/>
        </w:rPr>
      </w:pPr>
      <w:r>
        <w:rPr>
          <w:rFonts w:hint="eastAsia" w:ascii="仿宋_GB2312" w:eastAsia="仿宋_GB2312"/>
          <w:sz w:val="32"/>
          <w:szCs w:val="32"/>
          <w:highlight w:val="none"/>
        </w:rPr>
        <w:br w:type="page"/>
      </w:r>
    </w:p>
    <w:p>
      <w:pPr>
        <w:widowControl w:val="0"/>
        <w:wordWrap/>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0" w:name="_Toc32314"/>
      <w:bookmarkStart w:id="1" w:name="_Toc24028"/>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bookmarkEnd w:id="0"/>
      <w:bookmarkEnd w:id="1"/>
    </w:p>
    <w:p>
      <w:pPr>
        <w:widowControl w:val="0"/>
        <w:wordWrap/>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widowControl w:val="0"/>
        <w:wordWrap/>
        <w:adjustRightInd/>
        <w:snapToGrid/>
        <w:spacing w:line="240" w:lineRule="auto"/>
        <w:ind w:firstLine="640" w:firstLineChars="200"/>
        <w:jc w:val="both"/>
        <w:textAlignment w:val="auto"/>
        <w:outlineLvl w:val="1"/>
        <w:rPr>
          <w:rFonts w:hint="eastAsia" w:ascii="仿宋_GB2312" w:eastAsia="仿宋_GB2312"/>
          <w:sz w:val="32"/>
          <w:szCs w:val="32"/>
        </w:rPr>
      </w:pPr>
      <w:bookmarkStart w:id="4" w:name="_Toc31238"/>
      <w:bookmarkStart w:id="5" w:name="_Toc2151"/>
      <w:r>
        <w:rPr>
          <w:rFonts w:ascii="仿宋_GB2312" w:eastAsia="仿宋_GB2312"/>
          <w:sz w:val="32"/>
          <w:szCs w:val="32"/>
        </w:rPr>
        <w:t>负责厅机关的后勤服务，负责办公楼及住宅楼内消防、水、电、暖、维修、安全、保卫、卫生管理等工作，承担厅机关综合治理，为机关办公与职工生活提供后勤服务保障工作。同时，肩负着厅办公楼、中山路办公楼的管理及厅房产、消防安全、社会治安、综合治理、庭院绿化、爱国卫生等工作</w:t>
      </w:r>
      <w:r>
        <w:rPr>
          <w:rFonts w:hint="eastAsia" w:ascii="仿宋_GB2312" w:eastAsia="仿宋_GB2312"/>
          <w:sz w:val="32"/>
          <w:szCs w:val="32"/>
        </w:rPr>
        <w:t>。</w:t>
      </w:r>
    </w:p>
    <w:p>
      <w:pPr>
        <w:widowControl w:val="0"/>
        <w:wordWrap/>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b/>
          <w:sz w:val="32"/>
          <w:szCs w:val="32"/>
          <w:highlight w:val="none"/>
        </w:rPr>
      </w:pPr>
      <w:r>
        <w:rPr>
          <w:rFonts w:hint="eastAsia" w:ascii="仿宋_GB2312" w:eastAsia="仿宋_GB2312"/>
          <w:sz w:val="32"/>
          <w:szCs w:val="32"/>
          <w:highlight w:val="none"/>
          <w:lang w:val="en-US" w:eastAsia="zh-CN"/>
        </w:rPr>
        <w:t>新疆维吾尔自治区审计厅机关服务中心</w:t>
      </w:r>
      <w:r>
        <w:rPr>
          <w:rFonts w:hint="eastAsia" w:ascii="仿宋_GB2312" w:eastAsia="仿宋_GB2312"/>
          <w:sz w:val="32"/>
          <w:szCs w:val="32"/>
          <w:highlight w:val="none"/>
          <w:lang w:eastAsia="zh-CN"/>
        </w:rPr>
        <w:t>2023年度，</w:t>
      </w:r>
      <w:r>
        <w:rPr>
          <w:rFonts w:hint="eastAsia" w:ascii="仿宋_GB2312" w:eastAsia="仿宋_GB2312"/>
          <w:sz w:val="32"/>
          <w:szCs w:val="32"/>
          <w:highlight w:val="none"/>
        </w:rPr>
        <w:t>实有人数</w:t>
      </w:r>
      <w:r>
        <w:rPr>
          <w:rFonts w:hint="eastAsia" w:ascii="仿宋_GB2312" w:eastAsia="仿宋_GB2312"/>
          <w:sz w:val="32"/>
          <w:szCs w:val="32"/>
          <w:highlight w:val="none"/>
          <w:lang w:val="zh-CN" w:eastAsia="zh-CN"/>
        </w:rPr>
        <w:t>32</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zh-CN" w:eastAsia="zh-CN"/>
        </w:rPr>
        <w:t>19</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zh-CN"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zh-CN" w:eastAsia="zh-CN"/>
        </w:rPr>
        <w:t>13</w:t>
      </w:r>
      <w:r>
        <w:rPr>
          <w:rFonts w:hint="eastAsia" w:ascii="仿宋_GB2312" w:eastAsia="仿宋_GB2312"/>
          <w:sz w:val="32"/>
          <w:szCs w:val="32"/>
          <w:highlight w:val="none"/>
        </w:rPr>
        <w:t>人。</w:t>
      </w:r>
    </w:p>
    <w:p>
      <w:pPr>
        <w:widowControl w:val="0"/>
        <w:wordWrap/>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黑体" w:eastAsia="仿宋_GB2312" w:cs="宋体"/>
          <w:bCs/>
          <w:kern w:val="0"/>
          <w:sz w:val="32"/>
          <w:szCs w:val="32"/>
          <w:highlight w:val="none"/>
        </w:rPr>
        <w:t>单位无下属预算单位，</w:t>
      </w:r>
      <w:r>
        <w:rPr>
          <w:rFonts w:hint="eastAsia" w:ascii="仿宋_GB2312" w:hAnsi="黑体" w:eastAsia="仿宋_GB2312" w:cs="宋体"/>
          <w:bCs/>
          <w:kern w:val="0"/>
          <w:sz w:val="32"/>
          <w:szCs w:val="32"/>
          <w:highlight w:val="none"/>
          <w:lang w:eastAsia="zh-CN"/>
        </w:rPr>
        <w:t>无</w:t>
      </w:r>
      <w:r>
        <w:rPr>
          <w:rFonts w:hint="eastAsia" w:ascii="仿宋_GB2312" w:hAnsi="黑体" w:eastAsia="仿宋_GB2312" w:cs="宋体"/>
          <w:bCs/>
          <w:kern w:val="0"/>
          <w:sz w:val="32"/>
          <w:szCs w:val="32"/>
          <w:highlight w:val="none"/>
        </w:rPr>
        <w:t>下设处室</w:t>
      </w:r>
      <w:r>
        <w:rPr>
          <w:rFonts w:hint="eastAsia" w:ascii="仿宋_GB2312" w:hAnsi="宋体" w:eastAsia="仿宋_GB2312" w:cs="宋体"/>
          <w:kern w:val="0"/>
          <w:sz w:val="32"/>
          <w:szCs w:val="32"/>
          <w:highlight w:val="none"/>
        </w:rPr>
        <w:t>。</w:t>
      </w:r>
    </w:p>
    <w:p>
      <w:pPr>
        <w:widowControl w:val="0"/>
        <w:wordWrap/>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6" w:name="_Toc3092"/>
      <w:bookmarkStart w:id="7" w:name="_Toc29374"/>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部分 部门决算情况说明</w:t>
      </w:r>
      <w:bookmarkEnd w:id="6"/>
      <w:bookmarkEnd w:id="7"/>
    </w:p>
    <w:p>
      <w:pPr>
        <w:widowControl w:val="0"/>
        <w:wordWrap/>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2023年度</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368.60万元，</w:t>
      </w:r>
      <w:r>
        <w:rPr>
          <w:rFonts w:hint="eastAsia" w:ascii="仿宋_GB2312" w:eastAsia="仿宋_GB2312"/>
          <w:spacing w:val="0"/>
          <w:sz w:val="32"/>
          <w:szCs w:val="32"/>
          <w:highlight w:val="none"/>
          <w:lang w:val="en-US" w:eastAsia="zh-CN"/>
        </w:rPr>
        <w:t>其中：本年收入合计</w:t>
      </w:r>
      <w:r>
        <w:rPr>
          <w:rFonts w:hint="eastAsia" w:ascii="仿宋_GB2312" w:eastAsia="仿宋_GB2312"/>
          <w:spacing w:val="0"/>
          <w:sz w:val="32"/>
          <w:szCs w:val="32"/>
          <w:highlight w:val="none"/>
          <w:lang w:eastAsia="zh-CN"/>
        </w:rPr>
        <w:t>368.36万元，使用非财政拨款结余0.00万元，年初结转和结余0.24万元。</w:t>
      </w:r>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2023</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度</w:t>
      </w:r>
      <w:r>
        <w:rPr>
          <w:rFonts w:hint="eastAsia" w:ascii="仿宋_GB2312" w:eastAsia="仿宋_GB2312"/>
          <w:spacing w:val="0"/>
          <w:sz w:val="32"/>
          <w:szCs w:val="32"/>
          <w:highlight w:val="none"/>
          <w:lang w:eastAsia="zh-CN"/>
        </w:rPr>
        <w:t>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368.60万元，</w:t>
      </w:r>
      <w:r>
        <w:rPr>
          <w:rFonts w:hint="eastAsia" w:ascii="仿宋_GB2312" w:eastAsia="仿宋_GB2312"/>
          <w:spacing w:val="0"/>
          <w:sz w:val="32"/>
          <w:szCs w:val="32"/>
          <w:highlight w:val="none"/>
          <w:lang w:val="en-US" w:eastAsia="zh-CN"/>
        </w:rPr>
        <w:t>其中：本年支出合计</w:t>
      </w:r>
      <w:r>
        <w:rPr>
          <w:rFonts w:hint="eastAsia" w:ascii="仿宋_GB2312" w:eastAsia="仿宋_GB2312"/>
          <w:spacing w:val="0"/>
          <w:sz w:val="32"/>
          <w:szCs w:val="32"/>
          <w:highlight w:val="none"/>
          <w:lang w:eastAsia="zh-CN"/>
        </w:rPr>
        <w:t>368.23万元，</w:t>
      </w:r>
      <w:r>
        <w:rPr>
          <w:rFonts w:hint="eastAsia" w:ascii="仿宋_GB2312" w:eastAsia="仿宋_GB2312"/>
          <w:spacing w:val="0"/>
          <w:sz w:val="32"/>
          <w:szCs w:val="32"/>
          <w:highlight w:val="none"/>
          <w:lang w:val="en-US" w:eastAsia="zh-CN"/>
        </w:rPr>
        <w:t>结余分配</w:t>
      </w:r>
      <w:r>
        <w:rPr>
          <w:rFonts w:hint="eastAsia" w:ascii="仿宋_GB2312" w:eastAsia="仿宋_GB2312"/>
          <w:spacing w:val="0"/>
          <w:sz w:val="32"/>
          <w:szCs w:val="32"/>
          <w:highlight w:val="none"/>
          <w:lang w:eastAsia="zh-CN"/>
        </w:rPr>
        <w:t>0.00万元，年末结转和结余0.36万元。</w:t>
      </w:r>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收入支出总体</w:t>
      </w:r>
      <w:r>
        <w:rPr>
          <w:rFonts w:hint="eastAsia" w:ascii="仿宋_GB2312" w:eastAsia="仿宋_GB2312"/>
          <w:spacing w:val="0"/>
          <w:sz w:val="32"/>
          <w:szCs w:val="32"/>
          <w:highlight w:val="none"/>
          <w:lang w:eastAsia="zh-CN"/>
        </w:rPr>
        <w:t>与上年相比，</w:t>
      </w:r>
      <w:r>
        <w:rPr>
          <w:rFonts w:hint="eastAsia" w:ascii="仿宋_GB2312" w:eastAsia="仿宋_GB2312"/>
          <w:spacing w:val="0"/>
          <w:sz w:val="32"/>
          <w:szCs w:val="32"/>
          <w:highlight w:val="none"/>
          <w:lang w:val="zh-CN" w:eastAsia="zh-CN"/>
        </w:rPr>
        <w:t>减少15.59万元</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下降4.06%</w:t>
      </w:r>
      <w:r>
        <w:rPr>
          <w:rFonts w:hint="eastAsia" w:ascii="仿宋_GB2312" w:eastAsia="仿宋_GB2312"/>
          <w:spacing w:val="0"/>
          <w:sz w:val="32"/>
          <w:szCs w:val="32"/>
          <w:highlight w:val="none"/>
          <w:lang w:eastAsia="zh-CN"/>
        </w:rPr>
        <w:t>，主要原因是：压减运行经费，减少开支。</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本年收入</w:t>
      </w:r>
      <w:r>
        <w:rPr>
          <w:rFonts w:hint="eastAsia" w:ascii="仿宋_GB2312" w:eastAsia="仿宋_GB2312"/>
          <w:sz w:val="32"/>
          <w:szCs w:val="32"/>
          <w:highlight w:val="none"/>
          <w:lang w:eastAsia="zh-CN"/>
        </w:rPr>
        <w:t>368.36</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zh-CN"/>
        </w:rPr>
        <w:t>368.06</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99.92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；事业收入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；经营收入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；其他收入</w:t>
      </w:r>
      <w:r>
        <w:rPr>
          <w:rFonts w:hint="eastAsia" w:ascii="仿宋_GB2312" w:eastAsia="仿宋_GB2312"/>
          <w:sz w:val="32"/>
          <w:szCs w:val="32"/>
          <w:highlight w:val="none"/>
          <w:lang w:val="zh-CN"/>
        </w:rPr>
        <w:t>0.30</w:t>
      </w:r>
      <w:r>
        <w:rPr>
          <w:rFonts w:hint="eastAsia" w:ascii="仿宋_GB2312" w:eastAsia="仿宋_GB2312"/>
          <w:sz w:val="32"/>
          <w:szCs w:val="32"/>
          <w:highlight w:val="none"/>
        </w:rPr>
        <w:t>万元，占</w:t>
      </w:r>
      <w:r>
        <w:rPr>
          <w:rFonts w:hint="eastAsia" w:ascii="仿宋_GB2312" w:eastAsia="仿宋_GB2312"/>
          <w:sz w:val="32"/>
          <w:szCs w:val="32"/>
          <w:highlight w:val="none"/>
          <w:lang w:val="zh-CN"/>
        </w:rPr>
        <w:t>0.08</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2" w:name="_Toc13201"/>
      <w:bookmarkStart w:id="13" w:name="_Toc27961"/>
      <w:r>
        <w:rPr>
          <w:rFonts w:hint="eastAsia" w:ascii="黑体" w:hAnsi="黑体" w:eastAsia="黑体" w:cs="宋体"/>
          <w:bCs/>
          <w:kern w:val="0"/>
          <w:sz w:val="32"/>
          <w:szCs w:val="32"/>
          <w:highlight w:val="none"/>
          <w:lang w:eastAsia="zh-CN"/>
        </w:rPr>
        <w:t>三、支出决算情况说明</w:t>
      </w:r>
      <w:bookmarkEnd w:id="12"/>
      <w:bookmarkEnd w:id="13"/>
    </w:p>
    <w:p>
      <w:pPr>
        <w:widowControl w:val="0"/>
        <w:wordWrap/>
        <w:adjustRightInd/>
        <w:snapToGrid/>
        <w:spacing w:line="240" w:lineRule="auto"/>
        <w:ind w:firstLine="640" w:firstLineChars="200"/>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2"/>
          <w:szCs w:val="32"/>
          <w:highlight w:val="none"/>
          <w:lang w:val="zh-CN" w:eastAsia="zh-CN"/>
        </w:rPr>
        <w:t>本年支出368.23万元，其中：基本支出368.23万元，占100.00%；项目支出0.00万元，占0.00%；上缴上级支出0.00万元，占0.00%；经营支出0.00万元，占0.00%；对附属单位补助支出0.00万元，占0.00%。</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4" w:name="_Toc4393"/>
      <w:bookmarkStart w:id="15" w:name="_Toc26564"/>
      <w:r>
        <w:rPr>
          <w:rFonts w:hint="eastAsia" w:ascii="黑体" w:hAnsi="黑体" w:eastAsia="黑体" w:cs="宋体"/>
          <w:bCs/>
          <w:kern w:val="0"/>
          <w:sz w:val="32"/>
          <w:szCs w:val="32"/>
          <w:highlight w:val="none"/>
          <w:lang w:eastAsia="zh-CN"/>
        </w:rPr>
        <w:t>四、财政拨款收入支出决算总体情况说明</w:t>
      </w:r>
      <w:bookmarkEnd w:id="14"/>
      <w:bookmarkEnd w:id="15"/>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2023年度财政拨款收入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val="zh-CN" w:eastAsia="zh-CN"/>
        </w:rPr>
        <w:t>368.06</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其中：年初财政拨款结转和结余</w:t>
      </w:r>
      <w:r>
        <w:rPr>
          <w:rFonts w:hint="eastAsia" w:ascii="仿宋_GB2312" w:eastAsia="仿宋_GB2312"/>
          <w:spacing w:val="0"/>
          <w:sz w:val="32"/>
          <w:szCs w:val="32"/>
          <w:highlight w:val="none"/>
          <w:lang w:val="zh-CN" w:eastAsia="zh-CN"/>
        </w:rPr>
        <w:t>0.00</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本年财政拨款收入</w:t>
      </w:r>
      <w:r>
        <w:rPr>
          <w:rFonts w:hint="eastAsia" w:ascii="仿宋_GB2312" w:eastAsia="仿宋_GB2312"/>
          <w:spacing w:val="0"/>
          <w:sz w:val="32"/>
          <w:szCs w:val="32"/>
          <w:highlight w:val="none"/>
          <w:lang w:val="zh-CN" w:eastAsia="zh-CN"/>
        </w:rPr>
        <w:t>368.06</w:t>
      </w:r>
      <w:r>
        <w:rPr>
          <w:rFonts w:hint="eastAsia" w:ascii="仿宋_GB2312" w:eastAsia="仿宋_GB2312"/>
          <w:spacing w:val="0"/>
          <w:sz w:val="32"/>
          <w:szCs w:val="32"/>
          <w:highlight w:val="none"/>
          <w:lang w:eastAsia="zh-CN"/>
        </w:rPr>
        <w:t>万元。财政拨款支出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val="zh-CN" w:eastAsia="zh-CN"/>
        </w:rPr>
        <w:t>368.06</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其中：年末财政拨款结转和结余</w:t>
      </w:r>
      <w:r>
        <w:rPr>
          <w:rFonts w:hint="eastAsia" w:ascii="仿宋_GB2312" w:eastAsia="仿宋_GB2312"/>
          <w:spacing w:val="0"/>
          <w:sz w:val="32"/>
          <w:szCs w:val="32"/>
          <w:highlight w:val="none"/>
          <w:lang w:val="zh-CN" w:eastAsia="zh-CN"/>
        </w:rPr>
        <w:t>0.00</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本年财政拨款支出</w:t>
      </w:r>
      <w:r>
        <w:rPr>
          <w:rFonts w:hint="eastAsia" w:ascii="仿宋_GB2312" w:eastAsia="仿宋_GB2312"/>
          <w:spacing w:val="0"/>
          <w:sz w:val="32"/>
          <w:szCs w:val="32"/>
          <w:highlight w:val="none"/>
          <w:lang w:val="zh-CN" w:eastAsia="zh-CN"/>
        </w:rPr>
        <w:t>368.06</w:t>
      </w:r>
      <w:r>
        <w:rPr>
          <w:rFonts w:hint="eastAsia" w:ascii="仿宋_GB2312" w:eastAsia="仿宋_GB2312"/>
          <w:spacing w:val="0"/>
          <w:sz w:val="32"/>
          <w:szCs w:val="32"/>
          <w:highlight w:val="none"/>
          <w:lang w:eastAsia="zh-CN"/>
        </w:rPr>
        <w:t>万元。</w:t>
      </w:r>
    </w:p>
    <w:p>
      <w:pPr>
        <w:widowControl w:val="0"/>
        <w:wordWrap/>
        <w:adjustRightInd/>
        <w:snapToGrid/>
        <w:spacing w:line="240" w:lineRule="auto"/>
        <w:ind w:firstLine="640" w:firstLineChars="200"/>
        <w:jc w:val="left"/>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财政拨款</w:t>
      </w:r>
      <w:r>
        <w:rPr>
          <w:rFonts w:hint="eastAsia" w:ascii="仿宋_GB2312" w:eastAsia="仿宋_GB2312"/>
          <w:spacing w:val="0"/>
          <w:sz w:val="32"/>
          <w:szCs w:val="32"/>
          <w:highlight w:val="none"/>
          <w:lang w:val="en-US" w:eastAsia="zh-CN"/>
        </w:rPr>
        <w:t>收入支出总体</w:t>
      </w:r>
      <w:r>
        <w:rPr>
          <w:rFonts w:hint="eastAsia" w:ascii="仿宋_GB2312" w:eastAsia="仿宋_GB2312"/>
          <w:spacing w:val="0"/>
          <w:sz w:val="32"/>
          <w:szCs w:val="32"/>
          <w:highlight w:val="none"/>
          <w:lang w:eastAsia="zh-CN"/>
        </w:rPr>
        <w:t>与上年相比</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val="zh-CN" w:eastAsia="zh-CN"/>
        </w:rPr>
        <w:t>减少15.34万元</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zh-CN" w:eastAsia="zh-CN"/>
        </w:rPr>
        <w:t>下降4.00%，</w:t>
      </w:r>
      <w:r>
        <w:rPr>
          <w:rFonts w:hint="eastAsia" w:ascii="仿宋_GB2312" w:eastAsia="仿宋_GB2312"/>
          <w:spacing w:val="0"/>
          <w:sz w:val="32"/>
          <w:szCs w:val="32"/>
          <w:highlight w:val="none"/>
          <w:lang w:eastAsia="zh-CN"/>
        </w:rPr>
        <w:t>主要原因是：压减运行经费，减少开支。与年初预算相比，年初预算数</w:t>
      </w:r>
      <w:r>
        <w:rPr>
          <w:rFonts w:hint="eastAsia" w:ascii="仿宋_GB2312" w:eastAsia="仿宋_GB2312"/>
          <w:spacing w:val="0"/>
          <w:sz w:val="32"/>
          <w:szCs w:val="32"/>
          <w:highlight w:val="none"/>
          <w:lang w:val="zh-CN" w:eastAsia="zh-CN"/>
        </w:rPr>
        <w:t>386.21</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zh-CN" w:eastAsia="zh-CN"/>
        </w:rPr>
        <w:t>368.06</w:t>
      </w:r>
      <w:r>
        <w:rPr>
          <w:rFonts w:hint="eastAsia" w:ascii="仿宋_GB2312" w:eastAsia="仿宋_GB2312"/>
          <w:spacing w:val="0"/>
          <w:sz w:val="32"/>
          <w:szCs w:val="32"/>
          <w:highlight w:val="none"/>
          <w:lang w:eastAsia="zh-CN"/>
        </w:rPr>
        <w:t>万元，预决算差异率-4.70%，主要原因是：压减运行经费，减少开支。</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widowControl w:val="0"/>
        <w:wordWrap/>
        <w:adjustRightInd/>
        <w:snapToGrid/>
        <w:spacing w:line="240" w:lineRule="auto"/>
        <w:ind w:firstLine="640" w:firstLineChars="200"/>
        <w:jc w:val="left"/>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widowControl w:val="0"/>
        <w:wordWrap/>
        <w:adjustRightInd/>
        <w:snapToGrid/>
        <w:spacing w:line="600" w:lineRule="exact"/>
        <w:ind w:firstLine="640" w:firstLineChars="200"/>
        <w:jc w:val="left"/>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2023年度一般公共预算财政拨款支出368.06万元，占本年支出合计的</w:t>
      </w:r>
      <w:r>
        <w:rPr>
          <w:rFonts w:hint="eastAsia" w:ascii="仿宋_GB2312" w:eastAsia="仿宋_GB2312"/>
          <w:spacing w:val="0"/>
          <w:sz w:val="32"/>
          <w:szCs w:val="32"/>
          <w:highlight w:val="none"/>
          <w:lang w:val="zh-CN" w:eastAsia="zh-CN"/>
        </w:rPr>
        <w:t>99.95%</w:t>
      </w:r>
      <w:r>
        <w:rPr>
          <w:rFonts w:hint="eastAsia" w:ascii="仿宋_GB2312" w:eastAsia="仿宋_GB2312"/>
          <w:spacing w:val="0"/>
          <w:sz w:val="32"/>
          <w:szCs w:val="32"/>
          <w:highlight w:val="none"/>
          <w:lang w:eastAsia="zh-CN"/>
        </w:rPr>
        <w:t>。与上年相比，</w:t>
      </w:r>
      <w:r>
        <w:rPr>
          <w:rFonts w:hint="eastAsia" w:ascii="仿宋_GB2312" w:eastAsia="仿宋_GB2312"/>
          <w:spacing w:val="0"/>
          <w:sz w:val="32"/>
          <w:szCs w:val="32"/>
          <w:highlight w:val="none"/>
          <w:lang w:val="zh-CN" w:eastAsia="zh-CN"/>
        </w:rPr>
        <w:t>减少15.34万元</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zh-CN" w:eastAsia="zh-CN"/>
        </w:rPr>
        <w:t>下降4.00%，</w:t>
      </w:r>
      <w:r>
        <w:rPr>
          <w:rFonts w:hint="eastAsia" w:ascii="仿宋_GB2312" w:eastAsia="仿宋_GB2312"/>
          <w:spacing w:val="0"/>
          <w:sz w:val="32"/>
          <w:szCs w:val="32"/>
          <w:highlight w:val="none"/>
          <w:lang w:eastAsia="zh-CN"/>
        </w:rPr>
        <w:t>主要原因是：压减运行经费，减少开支。与年初预算相比，年初预算数</w:t>
      </w:r>
      <w:r>
        <w:rPr>
          <w:rFonts w:hint="eastAsia" w:ascii="仿宋_GB2312" w:eastAsia="仿宋_GB2312"/>
          <w:spacing w:val="0"/>
          <w:sz w:val="32"/>
          <w:szCs w:val="32"/>
          <w:highlight w:val="none"/>
          <w:lang w:val="zh-CN" w:eastAsia="zh-CN"/>
        </w:rPr>
        <w:t>386.21</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zh-CN" w:eastAsia="zh-CN"/>
        </w:rPr>
        <w:t>368.06</w:t>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val="zh-CN" w:eastAsia="zh-CN"/>
        </w:rPr>
        <w:t>4.70%</w:t>
      </w:r>
      <w:r>
        <w:rPr>
          <w:rFonts w:hint="eastAsia" w:ascii="仿宋_GB2312" w:eastAsia="仿宋_GB2312"/>
          <w:spacing w:val="0"/>
          <w:sz w:val="32"/>
          <w:szCs w:val="32"/>
          <w:highlight w:val="none"/>
          <w:lang w:eastAsia="zh-CN"/>
        </w:rPr>
        <w:t>，主要原因是：压减运行经费，减少开支。</w:t>
      </w:r>
    </w:p>
    <w:p>
      <w:pPr>
        <w:widowControl w:val="0"/>
        <w:numPr>
          <w:ilvl w:val="0"/>
          <w:numId w:val="1"/>
        </w:numPr>
        <w:wordWrap/>
        <w:adjustRightInd/>
        <w:snapToGrid/>
        <w:spacing w:line="240" w:lineRule="auto"/>
        <w:ind w:firstLine="640" w:firstLineChars="200"/>
        <w:jc w:val="left"/>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default" w:ascii="仿宋_GB2312" w:hAnsi="Times New Roman" w:eastAsia="仿宋_GB2312" w:cs="Times New Roman"/>
          <w:spacing w:val="0"/>
          <w:kern w:val="2"/>
          <w:sz w:val="32"/>
          <w:szCs w:val="32"/>
          <w:lang w:val="zh-CN" w:eastAsia="zh-CN" w:bidi="ar-SA"/>
        </w:rPr>
        <w:t>1.</w:t>
      </w:r>
      <w:r>
        <w:rPr>
          <w:rFonts w:hint="default" w:ascii="仿宋_GB2312" w:hAnsi="Times New Roman" w:eastAsia="仿宋_GB2312" w:cs="Times New Roman"/>
          <w:spacing w:val="0"/>
          <w:kern w:val="2"/>
          <w:sz w:val="32"/>
          <w:szCs w:val="32"/>
          <w:highlight w:val="none"/>
          <w:lang w:val="zh-CN" w:eastAsia="zh-CN" w:bidi="ar-SA"/>
        </w:rPr>
        <w:t>一般公共服务支出（类）</w:t>
      </w:r>
      <w:r>
        <w:rPr>
          <w:rFonts w:hint="eastAsia" w:ascii="仿宋_GB2312" w:hAnsi="Times New Roman" w:eastAsia="仿宋_GB2312" w:cs="Times New Roman"/>
          <w:spacing w:val="0"/>
          <w:kern w:val="2"/>
          <w:sz w:val="32"/>
          <w:szCs w:val="32"/>
          <w:highlight w:val="none"/>
          <w:lang w:val="zh-CN" w:eastAsia="zh-CN" w:bidi="ar-SA"/>
        </w:rPr>
        <w:t>259.10</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70.39</w:t>
      </w:r>
      <w:r>
        <w:rPr>
          <w:rFonts w:hint="default" w:ascii="仿宋_GB2312" w:hAnsi="Times New Roman" w:eastAsia="仿宋_GB2312" w:cs="Times New Roman"/>
          <w:spacing w:val="0"/>
          <w:kern w:val="2"/>
          <w:sz w:val="32"/>
          <w:szCs w:val="32"/>
          <w:highlight w:val="none"/>
          <w:lang w:val="zh-CN" w:eastAsia="zh-CN" w:bidi="ar-SA"/>
        </w:rPr>
        <w:t>%；</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default" w:ascii="仿宋_GB2312" w:hAnsi="Times New Roman" w:eastAsia="仿宋_GB2312" w:cs="Times New Roman"/>
          <w:spacing w:val="0"/>
          <w:kern w:val="2"/>
          <w:sz w:val="32"/>
          <w:szCs w:val="32"/>
          <w:lang w:val="en-US" w:eastAsia="zh-CN" w:bidi="ar-SA"/>
        </w:rPr>
        <w:t>2.</w:t>
      </w:r>
      <w:r>
        <w:rPr>
          <w:rFonts w:hint="default" w:ascii="仿宋_GB2312" w:hAnsi="Times New Roman" w:eastAsia="仿宋_GB2312" w:cs="Times New Roman"/>
          <w:spacing w:val="0"/>
          <w:kern w:val="2"/>
          <w:sz w:val="32"/>
          <w:szCs w:val="32"/>
          <w:highlight w:val="none"/>
          <w:lang w:val="zh-CN" w:eastAsia="zh-CN" w:bidi="ar-SA"/>
        </w:rPr>
        <w:t>社会保障和就业支出（类）</w:t>
      </w:r>
      <w:r>
        <w:rPr>
          <w:rFonts w:hint="eastAsia" w:ascii="仿宋_GB2312" w:hAnsi="Times New Roman" w:eastAsia="仿宋_GB2312" w:cs="Times New Roman"/>
          <w:spacing w:val="0"/>
          <w:kern w:val="2"/>
          <w:sz w:val="32"/>
          <w:szCs w:val="32"/>
          <w:highlight w:val="none"/>
          <w:lang w:val="zh-CN" w:eastAsia="zh-CN" w:bidi="ar-SA"/>
        </w:rPr>
        <w:t>54.05</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14.69</w:t>
      </w:r>
      <w:r>
        <w:rPr>
          <w:rFonts w:hint="default" w:ascii="仿宋_GB2312" w:hAnsi="Times New Roman" w:eastAsia="仿宋_GB2312" w:cs="Times New Roman"/>
          <w:spacing w:val="0"/>
          <w:kern w:val="2"/>
          <w:sz w:val="32"/>
          <w:szCs w:val="32"/>
          <w:highlight w:val="none"/>
          <w:lang w:val="zh-CN" w:eastAsia="zh-CN" w:bidi="ar-SA"/>
        </w:rPr>
        <w:t>%；</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eastAsia" w:ascii="仿宋_GB2312" w:eastAsia="仿宋_GB2312" w:cs="Times New Roman"/>
          <w:spacing w:val="0"/>
          <w:kern w:val="2"/>
          <w:sz w:val="32"/>
          <w:szCs w:val="32"/>
          <w:lang w:val="en-US" w:eastAsia="zh-CN" w:bidi="ar-SA"/>
        </w:rPr>
        <w:t>3</w:t>
      </w:r>
      <w:r>
        <w:rPr>
          <w:rFonts w:hint="default" w:ascii="仿宋_GB2312" w:hAnsi="Times New Roman" w:eastAsia="仿宋_GB2312" w:cs="Times New Roman"/>
          <w:spacing w:val="0"/>
          <w:kern w:val="2"/>
          <w:sz w:val="32"/>
          <w:szCs w:val="32"/>
          <w:lang w:val="zh-CN" w:eastAsia="zh-CN" w:bidi="ar-SA"/>
        </w:rPr>
        <w:t>.</w:t>
      </w:r>
      <w:r>
        <w:rPr>
          <w:rFonts w:hint="default" w:ascii="仿宋_GB2312" w:hAnsi="Times New Roman" w:eastAsia="仿宋_GB2312" w:cs="Times New Roman"/>
          <w:spacing w:val="0"/>
          <w:kern w:val="2"/>
          <w:sz w:val="32"/>
          <w:szCs w:val="32"/>
          <w:highlight w:val="none"/>
          <w:lang w:val="zh-CN" w:eastAsia="zh-CN" w:bidi="ar-SA"/>
        </w:rPr>
        <w:t>卫生健康支出（类）</w:t>
      </w:r>
      <w:r>
        <w:rPr>
          <w:rFonts w:hint="eastAsia" w:ascii="仿宋_GB2312" w:hAnsi="Times New Roman" w:eastAsia="仿宋_GB2312" w:cs="Times New Roman"/>
          <w:spacing w:val="0"/>
          <w:kern w:val="2"/>
          <w:sz w:val="32"/>
          <w:szCs w:val="32"/>
          <w:highlight w:val="none"/>
          <w:lang w:val="zh-CN" w:eastAsia="zh-CN" w:bidi="ar-SA"/>
        </w:rPr>
        <w:t>30.05</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8.16</w:t>
      </w:r>
      <w:r>
        <w:rPr>
          <w:rFonts w:hint="default" w:ascii="仿宋_GB2312" w:hAnsi="Times New Roman" w:eastAsia="仿宋_GB2312" w:cs="Times New Roman"/>
          <w:spacing w:val="0"/>
          <w:kern w:val="2"/>
          <w:sz w:val="32"/>
          <w:szCs w:val="32"/>
          <w:highlight w:val="none"/>
          <w:lang w:val="zh-CN" w:eastAsia="zh-CN" w:bidi="ar-SA"/>
        </w:rPr>
        <w:t>%；</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spacing w:val="0"/>
          <w:kern w:val="2"/>
          <w:sz w:val="32"/>
          <w:szCs w:val="32"/>
          <w:highlight w:val="none"/>
          <w:lang w:val="zh-CN" w:eastAsia="zh-CN" w:bidi="ar-SA"/>
        </w:rPr>
      </w:pPr>
      <w:r>
        <w:rPr>
          <w:rFonts w:hint="eastAsia" w:ascii="仿宋_GB2312" w:eastAsia="仿宋_GB2312" w:cs="Times New Roman"/>
          <w:spacing w:val="0"/>
          <w:kern w:val="2"/>
          <w:sz w:val="32"/>
          <w:szCs w:val="32"/>
          <w:lang w:val="en-US" w:eastAsia="zh-CN" w:bidi="ar-SA"/>
        </w:rPr>
        <w:t>4</w:t>
      </w:r>
      <w:r>
        <w:rPr>
          <w:rFonts w:hint="default" w:ascii="仿宋_GB2312" w:hAnsi="Times New Roman" w:eastAsia="仿宋_GB2312" w:cs="Times New Roman"/>
          <w:spacing w:val="0"/>
          <w:kern w:val="2"/>
          <w:sz w:val="32"/>
          <w:szCs w:val="32"/>
          <w:lang w:val="zh-CN" w:eastAsia="zh-CN" w:bidi="ar-SA"/>
        </w:rPr>
        <w:t>.</w:t>
      </w:r>
      <w:r>
        <w:rPr>
          <w:rFonts w:hint="default" w:ascii="仿宋_GB2312" w:hAnsi="Times New Roman" w:eastAsia="仿宋_GB2312" w:cs="Times New Roman"/>
          <w:spacing w:val="0"/>
          <w:kern w:val="2"/>
          <w:sz w:val="32"/>
          <w:szCs w:val="32"/>
          <w:highlight w:val="none"/>
          <w:lang w:val="zh-CN" w:eastAsia="zh-CN" w:bidi="ar-SA"/>
        </w:rPr>
        <w:t>住房保障支出（类）</w:t>
      </w:r>
      <w:r>
        <w:rPr>
          <w:rFonts w:hint="eastAsia" w:ascii="仿宋_GB2312" w:hAnsi="Times New Roman" w:eastAsia="仿宋_GB2312" w:cs="Times New Roman"/>
          <w:spacing w:val="0"/>
          <w:kern w:val="2"/>
          <w:sz w:val="32"/>
          <w:szCs w:val="32"/>
          <w:highlight w:val="none"/>
          <w:lang w:val="zh-CN" w:eastAsia="zh-CN" w:bidi="ar-SA"/>
        </w:rPr>
        <w:t>24.87</w:t>
      </w:r>
      <w:r>
        <w:rPr>
          <w:rFonts w:hint="default" w:ascii="仿宋_GB2312" w:hAnsi="Times New Roman" w:eastAsia="仿宋_GB2312" w:cs="Times New Roman"/>
          <w:spacing w:val="0"/>
          <w:kern w:val="2"/>
          <w:sz w:val="32"/>
          <w:szCs w:val="32"/>
          <w:highlight w:val="none"/>
          <w:lang w:val="zh-CN" w:eastAsia="zh-CN" w:bidi="ar-SA"/>
        </w:rPr>
        <w:t>万元，占</w:t>
      </w:r>
      <w:r>
        <w:rPr>
          <w:rFonts w:hint="eastAsia" w:ascii="仿宋_GB2312" w:hAnsi="Times New Roman" w:eastAsia="仿宋_GB2312" w:cs="Times New Roman"/>
          <w:spacing w:val="0"/>
          <w:kern w:val="2"/>
          <w:sz w:val="32"/>
          <w:szCs w:val="32"/>
          <w:highlight w:val="none"/>
          <w:lang w:val="zh-CN" w:eastAsia="zh-CN" w:bidi="ar-SA"/>
        </w:rPr>
        <w:t>6.76</w:t>
      </w:r>
      <w:r>
        <w:rPr>
          <w:rFonts w:hint="default" w:ascii="仿宋_GB2312" w:hAnsi="Times New Roman" w:eastAsia="仿宋_GB2312" w:cs="Times New Roman"/>
          <w:spacing w:val="0"/>
          <w:kern w:val="2"/>
          <w:sz w:val="32"/>
          <w:szCs w:val="32"/>
          <w:highlight w:val="none"/>
          <w:lang w:val="zh-CN" w:eastAsia="zh-CN" w:bidi="ar-SA"/>
        </w:rPr>
        <w:t>%；</w:t>
      </w:r>
    </w:p>
    <w:p>
      <w:pPr>
        <w:widowControl w:val="0"/>
        <w:wordWrap/>
        <w:adjustRightInd/>
        <w:snapToGrid/>
        <w:spacing w:line="240" w:lineRule="auto"/>
        <w:ind w:firstLine="640" w:firstLineChars="200"/>
        <w:jc w:val="left"/>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1.卫生健康支出（类）行政事业单位医疗（款）事业单位医疗（项）:支出决算数为15.54</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15.54</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100%，主要原因是：</w:t>
      </w:r>
      <w:r>
        <w:rPr>
          <w:rFonts w:hint="eastAsia" w:eastAsia="仿宋_GB2312" w:cs="Times New Roman"/>
          <w:kern w:val="2"/>
          <w:sz w:val="32"/>
          <w:szCs w:val="32"/>
          <w:highlight w:val="none"/>
          <w:lang w:val="en-US" w:eastAsia="zh-CN" w:bidi="ar-SA"/>
        </w:rPr>
        <w:t>2022年度职工医疗医疗保险计入事业运行科目，2023年度调整到事业单位医疗科目</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2.卫生健康支出（类）行政事业单位医疗（款）公务员医疗补助（项）:支出决算数为14.51</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2.26</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w:t>
      </w:r>
      <w:r>
        <w:rPr>
          <w:rFonts w:hint="eastAsia" w:eastAsia="仿宋_GB2312" w:cs="Times New Roman"/>
          <w:color w:val="auto"/>
          <w:kern w:val="2"/>
          <w:sz w:val="32"/>
          <w:szCs w:val="32"/>
          <w:highlight w:val="none"/>
          <w:lang w:val="en-US" w:eastAsia="zh-CN" w:bidi="ar-SA"/>
        </w:rPr>
        <w:t>长</w:t>
      </w:r>
      <w:r>
        <w:rPr>
          <w:rFonts w:hint="eastAsia" w:ascii="Times New Roman" w:hAnsi="Times New Roman" w:eastAsia="仿宋_GB2312" w:cs="Times New Roman"/>
          <w:color w:val="auto"/>
          <w:kern w:val="2"/>
          <w:sz w:val="32"/>
          <w:szCs w:val="32"/>
          <w:highlight w:val="none"/>
          <w:lang w:val="en-US" w:eastAsia="zh-CN" w:bidi="ar-SA"/>
        </w:rPr>
        <w:t>18.4</w:t>
      </w:r>
      <w:r>
        <w:rPr>
          <w:rFonts w:hint="eastAsia" w:eastAsia="仿宋_GB2312" w:cs="Times New Roman"/>
          <w:color w:val="auto"/>
          <w:kern w:val="2"/>
          <w:sz w:val="32"/>
          <w:szCs w:val="32"/>
          <w:highlight w:val="none"/>
          <w:lang w:val="en-US" w:eastAsia="zh-CN" w:bidi="ar-SA"/>
        </w:rPr>
        <w:t>5</w:t>
      </w:r>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ascii="仿宋_GB2312" w:eastAsia="仿宋_GB2312"/>
          <w:color w:val="auto"/>
          <w:sz w:val="32"/>
          <w:szCs w:val="32"/>
          <w:highlight w:val="none"/>
        </w:rPr>
        <w:t>人员工资调整和人员费用增加</w:t>
      </w:r>
      <w:r>
        <w:rPr>
          <w:rFonts w:hint="eastAsia" w:eastAsia="仿宋_GB2312" w:cs="Times New Roman"/>
          <w:color w:val="auto"/>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yellow"/>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3.住房保障支出（类）住房改革支出（款）住房公积金（项）:支出决算数为24.87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2.98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13.6</w:t>
      </w:r>
      <w:r>
        <w:rPr>
          <w:rFonts w:hint="eastAsia"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ascii="仿宋_GB2312" w:eastAsia="仿宋_GB2312"/>
          <w:color w:val="auto"/>
          <w:sz w:val="32"/>
          <w:szCs w:val="32"/>
          <w:highlight w:val="none"/>
        </w:rPr>
        <w:t>人员工资调整和人员费用增加</w:t>
      </w:r>
      <w:r>
        <w:rPr>
          <w:rFonts w:hint="eastAsia" w:eastAsia="仿宋_GB2312" w:cs="Times New Roman"/>
          <w:color w:val="auto"/>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4.一般公共服务支出（类）审计事务（款）机关服务（项）:支出决算数为259.10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31.84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10.94%，主要原因是：</w:t>
      </w:r>
      <w:r>
        <w:rPr>
          <w:rFonts w:hint="eastAsia" w:eastAsia="仿宋_GB2312" w:cs="Times New Roman"/>
          <w:color w:val="auto"/>
          <w:kern w:val="2"/>
          <w:sz w:val="32"/>
          <w:szCs w:val="32"/>
          <w:highlight w:val="none"/>
          <w:lang w:val="en-US" w:eastAsia="zh-CN" w:bidi="ar-SA"/>
        </w:rPr>
        <w:t>压缩运行经费，减少开支</w:t>
      </w:r>
      <w:r>
        <w:rPr>
          <w:rFonts w:hint="eastAsia" w:eastAsia="仿宋_GB2312" w:cs="Times New Roman"/>
          <w:color w:val="auto"/>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5.社会保障和就业支出（类）行政事业单位养老支出（款）事业单位离退休（项）:支出决算数为24.30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4.87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16.</w:t>
      </w:r>
      <w:r>
        <w:rPr>
          <w:rFonts w:hint="eastAsia" w:eastAsia="仿宋_GB2312" w:cs="Times New Roman"/>
          <w:color w:val="auto"/>
          <w:kern w:val="2"/>
          <w:sz w:val="32"/>
          <w:szCs w:val="32"/>
          <w:highlight w:val="none"/>
          <w:lang w:val="en-US" w:eastAsia="zh-CN" w:bidi="ar-SA"/>
        </w:rPr>
        <w:t>70</w:t>
      </w:r>
      <w:r>
        <w:rPr>
          <w:rFonts w:hint="eastAsia" w:ascii="Times New Roman" w:hAnsi="Times New Roman" w:eastAsia="仿宋_GB2312" w:cs="Times New Roman"/>
          <w:color w:val="auto"/>
          <w:kern w:val="2"/>
          <w:sz w:val="32"/>
          <w:szCs w:val="32"/>
          <w:highlight w:val="none"/>
          <w:lang w:val="en-US" w:eastAsia="zh-CN" w:bidi="ar-SA"/>
        </w:rPr>
        <w:t>%，主要</w:t>
      </w:r>
      <w:r>
        <w:rPr>
          <w:rFonts w:hint="eastAsia" w:ascii="Times New Roman" w:hAnsi="Times New Roman" w:eastAsia="仿宋_GB2312" w:cs="Times New Roman"/>
          <w:kern w:val="2"/>
          <w:sz w:val="32"/>
          <w:szCs w:val="32"/>
          <w:highlight w:val="none"/>
          <w:lang w:val="en-US" w:eastAsia="zh-CN" w:bidi="ar-SA"/>
        </w:rPr>
        <w:t>原因是：</w:t>
      </w:r>
      <w:r>
        <w:rPr>
          <w:rFonts w:hint="eastAsia" w:eastAsia="仿宋_GB2312" w:cs="Times New Roman"/>
          <w:kern w:val="2"/>
          <w:sz w:val="32"/>
          <w:szCs w:val="32"/>
          <w:highlight w:val="none"/>
          <w:lang w:val="en-US" w:eastAsia="zh-CN" w:bidi="ar-SA"/>
        </w:rPr>
        <w:t>退休人员医疗补助减少</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en-US" w:eastAsia="zh-CN" w:bidi="ar-SA"/>
        </w:rPr>
        <w:t>6.社会保障和就业支出（类）行政事业单位养老支出（款）机关事业单位基本养老保险缴费支出（项）:支出决算数为29.75</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，比上年决算</w:t>
      </w:r>
      <w:r>
        <w:rPr>
          <w:rFonts w:hint="eastAsia" w:eastAsia="仿宋_GB2312" w:cs="Times New Roman"/>
          <w:kern w:val="2"/>
          <w:sz w:val="32"/>
          <w:szCs w:val="32"/>
          <w:highlight w:val="none"/>
          <w:lang w:val="en-US" w:eastAsia="zh-CN" w:bidi="ar-SA"/>
        </w:rPr>
        <w:t>增加</w:t>
      </w:r>
      <w:r>
        <w:rPr>
          <w:rFonts w:hint="eastAsia" w:ascii="Times New Roman" w:hAnsi="Times New Roman" w:eastAsia="仿宋_GB2312" w:cs="Times New Roman"/>
          <w:kern w:val="2"/>
          <w:sz w:val="32"/>
          <w:szCs w:val="32"/>
          <w:highlight w:val="none"/>
          <w:lang w:val="en-US" w:eastAsia="zh-CN" w:bidi="ar-SA"/>
        </w:rPr>
        <w:t>0.57</w:t>
      </w:r>
      <w:r>
        <w:rPr>
          <w:rFonts w:hint="eastAsia" w:eastAsia="仿宋_GB2312" w:cs="Times New Roman"/>
          <w:kern w:val="2"/>
          <w:sz w:val="32"/>
          <w:szCs w:val="32"/>
          <w:highlight w:val="none"/>
          <w:lang w:val="en-US" w:eastAsia="zh-CN" w:bidi="ar-SA"/>
        </w:rPr>
        <w:t>万元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增长</w:t>
      </w:r>
      <w:r>
        <w:rPr>
          <w:rFonts w:hint="eastAsia" w:ascii="Times New Roman" w:hAnsi="Times New Roman" w:eastAsia="仿宋_GB2312" w:cs="Times New Roman"/>
          <w:kern w:val="2"/>
          <w:sz w:val="32"/>
          <w:szCs w:val="32"/>
          <w:highlight w:val="none"/>
          <w:lang w:val="en-US" w:eastAsia="zh-CN" w:bidi="ar-SA"/>
        </w:rPr>
        <w:t>1.96%，主要原因是：</w:t>
      </w:r>
      <w:r>
        <w:rPr>
          <w:rFonts w:hint="eastAsia" w:ascii="仿宋_GB2312" w:eastAsia="仿宋_GB2312"/>
          <w:sz w:val="32"/>
          <w:szCs w:val="32"/>
          <w:highlight w:val="none"/>
        </w:rPr>
        <w:t>人员工资调整和人员费用增加</w:t>
      </w:r>
      <w:r>
        <w:rPr>
          <w:rFonts w:hint="eastAsia" w:eastAsia="仿宋_GB2312" w:cs="Times New Roman"/>
          <w:kern w:val="2"/>
          <w:sz w:val="32"/>
          <w:szCs w:val="32"/>
          <w:highlight w:val="none"/>
          <w:lang w:val="zh-CN" w:eastAsia="zh-CN" w:bidi="ar-SA"/>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六、一般公共预算财政拨款基本支出决算情况说明</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pacing w:val="0"/>
          <w:sz w:val="32"/>
          <w:szCs w:val="32"/>
          <w:highlight w:val="none"/>
          <w:lang w:eastAsia="zh-CN"/>
        </w:rPr>
        <w:t>2023年度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eastAsia="zh-CN"/>
        </w:rPr>
        <w:t>368.06</w:t>
      </w:r>
      <w:r>
        <w:rPr>
          <w:rFonts w:hint="eastAsia" w:ascii="仿宋_GB2312" w:eastAsia="仿宋_GB2312"/>
          <w:sz w:val="32"/>
          <w:szCs w:val="32"/>
          <w:highlight w:val="none"/>
        </w:rPr>
        <w:t>万元，其中：人员经费</w:t>
      </w:r>
      <w:r>
        <w:rPr>
          <w:rFonts w:hint="eastAsia" w:ascii="仿宋_GB2312" w:eastAsia="仿宋_GB2312"/>
          <w:sz w:val="32"/>
          <w:szCs w:val="32"/>
          <w:highlight w:val="none"/>
          <w:lang w:eastAsia="zh-CN"/>
        </w:rPr>
        <w:t>350.09</w:t>
      </w:r>
      <w:r>
        <w:rPr>
          <w:rFonts w:hint="eastAsia" w:ascii="仿宋_GB2312" w:eastAsia="仿宋_GB2312"/>
          <w:sz w:val="32"/>
          <w:szCs w:val="32"/>
          <w:highlight w:val="none"/>
        </w:rPr>
        <w:t>万元，包括：</w:t>
      </w:r>
      <w:r>
        <w:rPr>
          <w:rFonts w:hint="eastAsia" w:ascii="仿宋_GB2312" w:eastAsia="仿宋_GB2312"/>
          <w:sz w:val="32"/>
          <w:szCs w:val="32"/>
          <w:highlight w:val="none"/>
          <w:lang w:val="en-US" w:eastAsia="zh-CN"/>
        </w:rPr>
        <w:t>基本工资、津贴补贴、奖金、绩效工资、机关事业单位基本养老保险缴费、职业年金缴费、职工基本医疗保险缴费、公务员医疗补助缴费、其他社会保障缴费、住房公积金、其他工资福利支出、退休费、奖励金。</w:t>
      </w:r>
    </w:p>
    <w:p>
      <w:pPr>
        <w:widowControl w:val="0"/>
        <w:wordWrap/>
        <w:adjustRightInd/>
        <w:snapToGrid/>
        <w:spacing w:line="240" w:lineRule="auto"/>
        <w:ind w:firstLine="640" w:firstLineChars="200"/>
        <w:jc w:val="left"/>
        <w:textAlignment w:val="auto"/>
        <w:rPr>
          <w:rFonts w:hint="default" w:ascii="仿宋_GB2312" w:eastAsia="仿宋_GB2312"/>
          <w:sz w:val="32"/>
          <w:szCs w:val="32"/>
          <w:highlight w:val="red"/>
          <w:lang w:val="en-US"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17.97</w:t>
      </w:r>
      <w:r>
        <w:rPr>
          <w:rFonts w:hint="eastAsia" w:ascii="仿宋_GB2312" w:eastAsia="仿宋_GB2312"/>
          <w:sz w:val="32"/>
          <w:szCs w:val="32"/>
          <w:highlight w:val="none"/>
        </w:rPr>
        <w:t>万元，包括：</w:t>
      </w:r>
      <w:r>
        <w:rPr>
          <w:rFonts w:hint="eastAsia" w:ascii="仿宋_GB2312" w:eastAsia="仿宋_GB2312"/>
          <w:sz w:val="32"/>
          <w:szCs w:val="32"/>
          <w:highlight w:val="none"/>
          <w:lang w:val="en-US" w:eastAsia="zh-CN"/>
        </w:rPr>
        <w:t>办公费、水费、邮电费、差旅费、工会经费、福利费、其他商品和服务支出</w:t>
      </w:r>
      <w:r>
        <w:rPr>
          <w:rFonts w:hint="eastAsia" w:ascii="仿宋_GB2312" w:eastAsia="仿宋_GB2312"/>
          <w:sz w:val="32"/>
          <w:szCs w:val="32"/>
          <w:highlight w:val="none"/>
          <w:lang w:eastAsia="zh-CN"/>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2023年度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lang w:val="zh-CN" w:eastAsia="zh-CN"/>
        </w:rPr>
        <w:t>“三公”经费支出</w:t>
      </w:r>
      <w:r>
        <w:rPr>
          <w:rFonts w:hint="eastAsia" w:ascii="仿宋_GB2312" w:eastAsia="仿宋_GB2312"/>
          <w:sz w:val="32"/>
          <w:szCs w:val="32"/>
          <w:highlight w:val="none"/>
          <w:lang w:val="en-US" w:eastAsia="zh-CN"/>
        </w:rPr>
        <w:t>决算</w:t>
      </w:r>
      <w:r>
        <w:rPr>
          <w:rFonts w:hint="eastAsia" w:ascii="仿宋_GB2312" w:eastAsia="仿宋_GB2312"/>
          <w:sz w:val="32"/>
          <w:szCs w:val="32"/>
          <w:highlight w:val="none"/>
          <w:lang w:val="zh-CN" w:eastAsia="zh-CN"/>
        </w:rPr>
        <w:t>0.00万元，</w:t>
      </w:r>
      <w:r>
        <w:rPr>
          <w:rFonts w:hint="eastAsia" w:ascii="仿宋_GB2312" w:eastAsia="仿宋_GB2312"/>
          <w:sz w:val="32"/>
          <w:szCs w:val="32"/>
          <w:highlight w:val="none"/>
          <w:lang w:val="en-US" w:eastAsia="zh-CN"/>
        </w:rPr>
        <w:t>比上年</w:t>
      </w:r>
      <w:r>
        <w:rPr>
          <w:rFonts w:hint="eastAsia" w:ascii="仿宋_GB2312" w:eastAsia="仿宋_GB2312"/>
          <w:sz w:val="32"/>
          <w:szCs w:val="32"/>
          <w:highlight w:val="none"/>
          <w:lang w:val="zh-CN" w:eastAsia="zh-CN"/>
        </w:rPr>
        <w:t>减少1.20万元，下降100.00%，主要原因是：本年度未安排“三公”经费。其中：因公出国（境）费支出0.00万元，占0.00%，比上年增加0.00万元，增长0.00%，主要原因是：</w:t>
      </w:r>
      <w:r>
        <w:rPr>
          <w:rFonts w:ascii="仿宋_GB2312" w:eastAsia="仿宋_GB2312"/>
          <w:sz w:val="32"/>
          <w:szCs w:val="32"/>
        </w:rPr>
        <w:t>我单位无因公出国（境）费</w:t>
      </w:r>
      <w:r>
        <w:rPr>
          <w:rFonts w:hint="eastAsia" w:ascii="仿宋_GB2312" w:eastAsia="仿宋_GB2312"/>
          <w:sz w:val="32"/>
          <w:szCs w:val="32"/>
          <w:highlight w:val="none"/>
          <w:lang w:val="zh-CN" w:eastAsia="zh-CN"/>
        </w:rPr>
        <w:t>；公务用车购置及运行维护费支出0.00万元，占0.00%，比上年减少1.20万元，下降100.00%，主要原因是：我单位本年度未安排公务用车购置及运行维护费；公务接待费支出0.00万元，占0.00%，比上年增加0.00万元，增长0.00%，主要原因是：</w:t>
      </w:r>
      <w:r>
        <w:rPr>
          <w:rFonts w:ascii="仿宋_GB2312" w:eastAsia="仿宋_GB2312"/>
          <w:sz w:val="32"/>
          <w:szCs w:val="32"/>
        </w:rPr>
        <w:t>我单位无公务接待费</w:t>
      </w:r>
      <w:r>
        <w:rPr>
          <w:rFonts w:hint="eastAsia" w:ascii="仿宋_GB2312" w:eastAsia="仿宋_GB2312"/>
          <w:sz w:val="32"/>
          <w:szCs w:val="32"/>
          <w:highlight w:val="none"/>
          <w:lang w:val="zh-CN" w:eastAsia="zh-CN"/>
        </w:rPr>
        <w:t>。</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具体情况如下：</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因公出国（境）费支出0.00万元，开支内容包括</w:t>
      </w:r>
      <w:r>
        <w:rPr>
          <w:rFonts w:hint="eastAsia" w:ascii="仿宋_GB2312" w:eastAsia="仿宋_GB2312"/>
          <w:sz w:val="32"/>
          <w:szCs w:val="32"/>
        </w:rPr>
        <w:t>我单位无因公出国（境）费</w:t>
      </w:r>
      <w:r>
        <w:rPr>
          <w:rFonts w:hint="eastAsia" w:ascii="仿宋_GB2312" w:eastAsia="仿宋_GB2312"/>
          <w:sz w:val="32"/>
          <w:szCs w:val="32"/>
          <w:highlight w:val="none"/>
          <w:lang w:val="zh-CN" w:eastAsia="zh-CN"/>
        </w:rPr>
        <w:t>。单位全年安排的因公出国（境）团组0个，因公出国（境）0人次。</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zh-CN" w:eastAsia="zh-CN"/>
        </w:rPr>
        <w:t>公务用车购置及运行维护费0.00万元，其中：公务用车购置费0.00万元，公务用车运行维护费0.00万元。公务用车运行维护费开支内容包括</w:t>
      </w:r>
      <w:r>
        <w:rPr>
          <w:rFonts w:hint="eastAsia" w:ascii="仿宋_GB2312" w:eastAsia="仿宋_GB2312"/>
          <w:sz w:val="32"/>
          <w:szCs w:val="32"/>
        </w:rPr>
        <w:t>无公务用车运行维护费开支</w:t>
      </w:r>
      <w:r>
        <w:rPr>
          <w:rFonts w:hint="eastAsia" w:ascii="仿宋_GB2312" w:eastAsia="仿宋_GB2312"/>
          <w:sz w:val="32"/>
          <w:szCs w:val="32"/>
          <w:highlight w:val="none"/>
          <w:lang w:val="zh-CN" w:eastAsia="zh-CN"/>
        </w:rPr>
        <w:t>。公务用车购置数0辆，公务用车保有量0辆。国有资产占用情况</w:t>
      </w:r>
      <w:r>
        <w:rPr>
          <w:rFonts w:hint="eastAsia" w:ascii="仿宋_GB2312" w:eastAsia="仿宋_GB2312"/>
          <w:sz w:val="32"/>
          <w:szCs w:val="32"/>
          <w:highlight w:val="none"/>
          <w:lang w:val="en-US" w:eastAsia="zh-CN"/>
        </w:rPr>
        <w:t>中固定资产车辆</w:t>
      </w:r>
      <w:r>
        <w:rPr>
          <w:rFonts w:hint="eastAsia" w:ascii="仿宋_GB2312" w:eastAsia="仿宋_GB2312"/>
          <w:sz w:val="32"/>
          <w:szCs w:val="32"/>
          <w:highlight w:val="none"/>
          <w:lang w:val="zh-CN" w:eastAsia="zh-CN"/>
        </w:rPr>
        <w:t>0辆，</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lang w:val="zh-CN" w:eastAsia="zh-CN"/>
        </w:rPr>
        <w:t>公务用车</w:t>
      </w:r>
      <w:r>
        <w:rPr>
          <w:rFonts w:hint="eastAsia" w:ascii="仿宋_GB2312" w:eastAsia="仿宋_GB2312"/>
          <w:sz w:val="32"/>
          <w:szCs w:val="32"/>
          <w:highlight w:val="none"/>
          <w:lang w:val="en-US" w:eastAsia="zh-CN"/>
        </w:rPr>
        <w:t>保有量差异</w:t>
      </w:r>
      <w:r>
        <w:rPr>
          <w:rFonts w:hint="eastAsia" w:ascii="仿宋_GB2312" w:eastAsia="仿宋_GB2312"/>
          <w:sz w:val="32"/>
          <w:szCs w:val="32"/>
          <w:highlight w:val="none"/>
          <w:lang w:val="zh-CN" w:eastAsia="zh-CN"/>
        </w:rPr>
        <w:t>原因是：无差异。</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公务接待费0.00万元，开支内容包括</w:t>
      </w:r>
      <w:r>
        <w:rPr>
          <w:rFonts w:hint="eastAsia" w:ascii="仿宋_GB2312" w:eastAsia="仿宋_GB2312"/>
          <w:sz w:val="32"/>
          <w:szCs w:val="32"/>
        </w:rPr>
        <w:t>我单位无公务接待费</w:t>
      </w:r>
      <w:r>
        <w:rPr>
          <w:rFonts w:hint="eastAsia" w:ascii="仿宋_GB2312" w:eastAsia="仿宋_GB2312"/>
          <w:sz w:val="32"/>
          <w:szCs w:val="32"/>
          <w:highlight w:val="none"/>
          <w:lang w:val="zh-CN" w:eastAsia="zh-CN"/>
        </w:rPr>
        <w:t>。单位全年安排的国内公务接待0批次，0人次。</w:t>
      </w:r>
    </w:p>
    <w:p>
      <w:pPr>
        <w:widowControl w:val="0"/>
        <w:wordWrap/>
        <w:adjustRightInd/>
        <w:snapToGrid/>
        <w:spacing w:line="240" w:lineRule="auto"/>
        <w:ind w:firstLine="640" w:firstLineChars="200"/>
        <w:jc w:val="left"/>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预算相比</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zh-CN" w:eastAsia="zh-CN"/>
        </w:rPr>
        <w:t>财政拨款“三公”经费支出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预算数0.00万元，决算数0.00万元，预决算差异率0.00%，主要原因是：我单位本年度未安排“三公”经费。其中：因公出国（境）费</w:t>
      </w:r>
      <w:r>
        <w:rPr>
          <w:rFonts w:hint="eastAsia" w:ascii="仿宋_GB2312" w:eastAsia="仿宋_GB2312"/>
          <w:sz w:val="32"/>
          <w:szCs w:val="32"/>
          <w:highlight w:val="none"/>
          <w:lang w:val="en-US" w:eastAsia="zh-CN"/>
        </w:rPr>
        <w:t>全年预算数</w:t>
      </w:r>
      <w:r>
        <w:rPr>
          <w:rFonts w:hint="eastAsia" w:ascii="仿宋_GB2312" w:eastAsia="仿宋_GB2312"/>
          <w:sz w:val="32"/>
          <w:szCs w:val="32"/>
          <w:highlight w:val="none"/>
          <w:lang w:val="zh-CN" w:eastAsia="zh-CN"/>
        </w:rPr>
        <w:t>0.00万元，决算数0.00万元，预决算差异率0.00%，主要原因是：我单位无公出国（境）费；公务用车购置费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预算数0.00万元，决算数0.00万元，预决算差异率0.00%，主要原因是：我单位无公务用车购置费；公务用车运行费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预算数0.00万元，决算数0.00万元，预决算差异率0.00%，主要原因是：我单位无公务用车运行费；公务接待费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预算数0.00万元，决算数0.00万元，预决算差异率0.00%，主要原因是：我单位无公务接待费。</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18" w:name="_Toc5810"/>
      <w:bookmarkStart w:id="19"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18"/>
      <w:bookmarkEnd w:id="19"/>
    </w:p>
    <w:p>
      <w:pPr>
        <w:widowControl w:val="0"/>
        <w:numPr>
          <w:ilvl w:val="0"/>
          <w:numId w:val="0"/>
        </w:numPr>
        <w:wordWrap/>
        <w:adjustRightInd/>
        <w:snapToGrid/>
        <w:spacing w:line="240" w:lineRule="auto"/>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widowControl w:val="0"/>
        <w:numPr>
          <w:ilvl w:val="0"/>
          <w:numId w:val="0"/>
        </w:numPr>
        <w:wordWrap/>
        <w:adjustRightInd/>
        <w:snapToGrid/>
        <w:spacing w:line="240" w:lineRule="auto"/>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20" w:name="_Toc1235"/>
      <w:bookmarkStart w:id="21"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0"/>
      <w:bookmarkEnd w:id="21"/>
    </w:p>
    <w:p>
      <w:pPr>
        <w:widowControl w:val="0"/>
        <w:wordWrap/>
        <w:adjustRightInd/>
        <w:snapToGrid/>
        <w:spacing w:line="240" w:lineRule="auto"/>
        <w:ind w:firstLine="640" w:firstLineChars="200"/>
        <w:jc w:val="left"/>
        <w:textAlignment w:val="auto"/>
        <w:outlineLvl w:val="2"/>
        <w:rPr>
          <w:rFonts w:hint="eastAsia" w:ascii="黑体" w:hAnsi="黑体" w:eastAsia="黑体"/>
          <w:sz w:val="32"/>
          <w:szCs w:val="32"/>
          <w:highlight w:val="none"/>
        </w:rPr>
      </w:pPr>
      <w:bookmarkStart w:id="22" w:name="_Toc13105"/>
      <w:bookmarkStart w:id="23"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2"/>
      <w:bookmarkEnd w:id="23"/>
    </w:p>
    <w:p>
      <w:pPr>
        <w:widowControl w:val="0"/>
        <w:wordWrap/>
        <w:adjustRightInd/>
        <w:snapToGrid/>
        <w:ind w:firstLine="640" w:firstLineChars="200"/>
        <w:textAlignment w:val="auto"/>
        <w:rPr>
          <w:rFonts w:hint="eastAsia" w:ascii="Times New Roman" w:hAnsi="Times New Roman" w:eastAsia="仿宋_GB2312" w:cs="Times New Roman"/>
          <w:sz w:val="32"/>
          <w:szCs w:val="32"/>
          <w:highlight w:val="none"/>
          <w:lang w:val="zh-CN" w:eastAsia="zh-CN"/>
        </w:rPr>
      </w:pPr>
      <w:bookmarkStart w:id="24" w:name="_Toc227"/>
      <w:bookmarkStart w:id="25" w:name="_Toc26704"/>
      <w:r>
        <w:rPr>
          <w:rFonts w:hint="eastAsia" w:ascii="Times New Roman" w:hAnsi="Times New Roman" w:eastAsia="仿宋_GB2312" w:cs="Times New Roman"/>
          <w:sz w:val="32"/>
          <w:szCs w:val="32"/>
          <w:highlight w:val="none"/>
          <w:lang w:val="zh-CN" w:eastAsia="zh-CN"/>
        </w:rPr>
        <w:t>2023年度</w:t>
      </w:r>
      <w:r>
        <w:rPr>
          <w:rFonts w:hint="eastAsia" w:ascii="Times New Roman" w:hAnsi="Times New Roman" w:eastAsia="仿宋_GB2312" w:cs="Times New Roman"/>
          <w:sz w:val="32"/>
          <w:szCs w:val="32"/>
          <w:highlight w:val="none"/>
          <w:lang w:val="en-US" w:eastAsia="zh-CN"/>
        </w:rPr>
        <w:t>新疆维吾尔自治区审计厅机关服务中心</w:t>
      </w:r>
      <w:r>
        <w:rPr>
          <w:rFonts w:hint="eastAsia" w:ascii="Times New Roman" w:hAnsi="Times New Roman" w:eastAsia="仿宋_GB2312" w:cs="Times New Roman"/>
          <w:sz w:val="32"/>
          <w:szCs w:val="32"/>
          <w:highlight w:val="none"/>
          <w:lang w:val="zh-CN" w:eastAsia="zh-CN"/>
        </w:rPr>
        <w:t>（事业单位</w:t>
      </w:r>
      <w:bookmarkStart w:id="48" w:name="_GoBack"/>
      <w:bookmarkEnd w:id="48"/>
      <w:r>
        <w:rPr>
          <w:rFonts w:hint="eastAsia" w:ascii="Times New Roman" w:hAnsi="Times New Roman" w:eastAsia="仿宋_GB2312" w:cs="Times New Roman"/>
          <w:sz w:val="32"/>
          <w:szCs w:val="32"/>
          <w:highlight w:val="none"/>
          <w:lang w:val="zh-CN" w:eastAsia="zh-CN"/>
        </w:rPr>
        <w:t>）公用经费支出17.97万元，比上年增加1.64万元，增长10.04%，主要原因是：</w:t>
      </w:r>
      <w:r>
        <w:rPr>
          <w:rFonts w:hint="eastAsia" w:eastAsia="仿宋_GB2312" w:cs="Times New Roman"/>
          <w:sz w:val="32"/>
          <w:szCs w:val="32"/>
          <w:highlight w:val="none"/>
          <w:lang w:val="zh-CN" w:eastAsia="zh-CN"/>
        </w:rPr>
        <w:t>因审计相关</w:t>
      </w:r>
      <w:r>
        <w:rPr>
          <w:rFonts w:hint="eastAsia" w:ascii="仿宋_GB2312" w:eastAsia="仿宋_GB2312"/>
          <w:sz w:val="32"/>
          <w:szCs w:val="32"/>
          <w:highlight w:val="none"/>
          <w:lang w:eastAsia="zh-CN"/>
        </w:rPr>
        <w:t>工作安排，差旅费增加</w:t>
      </w:r>
      <w:r>
        <w:rPr>
          <w:rFonts w:hint="eastAsia" w:ascii="Times New Roman" w:hAnsi="Times New Roman" w:eastAsia="仿宋_GB2312" w:cs="Times New Roman"/>
          <w:sz w:val="32"/>
          <w:szCs w:val="32"/>
          <w:highlight w:val="none"/>
          <w:lang w:val="zh-CN" w:eastAsia="zh-CN"/>
        </w:rPr>
        <w:t>。</w:t>
      </w:r>
    </w:p>
    <w:p>
      <w:pPr>
        <w:widowControl w:val="0"/>
        <w:wordWrap/>
        <w:adjustRightInd/>
        <w:snapToGrid/>
        <w:spacing w:line="240" w:lineRule="auto"/>
        <w:ind w:firstLine="640" w:firstLineChars="200"/>
        <w:jc w:val="left"/>
        <w:textAlignment w:val="auto"/>
        <w:rPr>
          <w:rFonts w:hint="eastAsia" w:ascii="Times New Roman" w:hAnsi="Times New Roman" w:eastAsia="黑体" w:cs="Times New Roman"/>
          <w:sz w:val="32"/>
          <w:szCs w:val="30"/>
          <w:highlight w:val="none"/>
          <w:lang w:val="zh-CN" w:eastAsia="zh-CN"/>
        </w:rPr>
      </w:pPr>
      <w:r>
        <w:rPr>
          <w:rFonts w:hint="eastAsia" w:ascii="Times New Roman" w:hAnsi="Times New Roman" w:eastAsia="黑体" w:cs="Times New Roman"/>
          <w:sz w:val="32"/>
          <w:szCs w:val="30"/>
          <w:highlight w:val="none"/>
          <w:lang w:val="zh-CN" w:eastAsia="zh-CN"/>
        </w:rPr>
        <w:t>（二）政府采购情况</w:t>
      </w:r>
      <w:bookmarkEnd w:id="24"/>
      <w:bookmarkEnd w:id="25"/>
    </w:p>
    <w:p>
      <w:pPr>
        <w:widowControl w:val="0"/>
        <w:wordWrap/>
        <w:adjustRightInd/>
        <w:snapToGrid/>
        <w:spacing w:line="240" w:lineRule="auto"/>
        <w:ind w:firstLine="640" w:firstLineChars="200"/>
        <w:jc w:val="left"/>
        <w:textAlignment w:val="auto"/>
        <w:rPr>
          <w:rFonts w:hint="eastAsia"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val="zh-CN" w:eastAsia="zh-CN"/>
        </w:rPr>
        <w:t>2023年度</w:t>
      </w:r>
      <w:r>
        <w:rPr>
          <w:rFonts w:hint="eastAsia" w:ascii="Times New Roman" w:hAnsi="Times New Roman" w:eastAsia="仿宋_GB2312" w:cs="Times New Roman"/>
          <w:sz w:val="32"/>
          <w:szCs w:val="32"/>
          <w:highlight w:val="none"/>
          <w:lang w:val="zh-CN"/>
        </w:rPr>
        <w:t>政府采购支出总额</w:t>
      </w:r>
      <w:r>
        <w:rPr>
          <w:rFonts w:hint="eastAsia" w:ascii="Times New Roman" w:hAnsi="Times New Roman" w:eastAsia="仿宋_GB2312" w:cs="Times New Roman"/>
          <w:sz w:val="32"/>
          <w:szCs w:val="32"/>
          <w:highlight w:val="none"/>
          <w:lang w:val="zh-CN" w:eastAsia="zh-CN"/>
        </w:rPr>
        <w:t>2.22万元</w:t>
      </w:r>
      <w:r>
        <w:rPr>
          <w:rFonts w:hint="eastAsia"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lang w:val="zh-CN" w:eastAsia="zh-CN"/>
        </w:rPr>
        <w:t>其中：政府采购货物支出2.22万元、政府采购工程支出0.00万元、政府采购服务支出0.00万元。</w:t>
      </w:r>
    </w:p>
    <w:p>
      <w:pPr>
        <w:widowControl w:val="0"/>
        <w:wordWrap/>
        <w:adjustRightInd/>
        <w:snapToGrid/>
        <w:spacing w:line="240" w:lineRule="auto"/>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zh-CN" w:eastAsia="zh-CN"/>
        </w:rPr>
        <w:t>授予中小企业合同金额2.22万元，占政府采购支出总额的100.00</w:t>
      </w:r>
      <w:r>
        <w:rPr>
          <w:rFonts w:hint="default" w:ascii="Times New Roman" w:hAnsi="Times New Roman" w:eastAsia="仿宋_GB2312" w:cs="Times New Roman"/>
          <w:sz w:val="32"/>
          <w:szCs w:val="32"/>
          <w:highlight w:val="none"/>
          <w:lang w:val="zh-CN" w:eastAsia="zh-CN"/>
        </w:rPr>
        <w:t>%</w:t>
      </w:r>
      <w:r>
        <w:rPr>
          <w:rFonts w:hint="eastAsia" w:ascii="Times New Roman" w:hAnsi="Times New Roman" w:eastAsia="仿宋_GB2312" w:cs="Times New Roman"/>
          <w:sz w:val="32"/>
          <w:szCs w:val="32"/>
          <w:highlight w:val="none"/>
          <w:lang w:val="zh-CN" w:eastAsia="zh-CN"/>
        </w:rPr>
        <w:t>，其中：授予小微企业合同金额2.22万元，占政府采购支出总额的100.00</w:t>
      </w:r>
      <w:r>
        <w:rPr>
          <w:rFonts w:hint="default" w:ascii="Times New Roman" w:hAnsi="Times New Roman" w:eastAsia="仿宋_GB2312" w:cs="Times New Roman"/>
          <w:sz w:val="32"/>
          <w:szCs w:val="32"/>
          <w:highlight w:val="none"/>
          <w:lang w:val="zh-CN" w:eastAsia="zh-CN"/>
        </w:rPr>
        <w:t>%</w:t>
      </w:r>
      <w:r>
        <w:rPr>
          <w:rFonts w:hint="eastAsia" w:ascii="Times New Roman" w:hAnsi="Times New Roman" w:eastAsia="仿宋_GB2312" w:cs="Times New Roman"/>
          <w:sz w:val="32"/>
          <w:szCs w:val="32"/>
          <w:highlight w:val="none"/>
          <w:lang w:val="en-US" w:eastAsia="zh-CN"/>
        </w:rPr>
        <w:t>。</w:t>
      </w:r>
    </w:p>
    <w:p>
      <w:pPr>
        <w:widowControl w:val="0"/>
        <w:wordWrap/>
        <w:adjustRightInd/>
        <w:snapToGrid/>
        <w:spacing w:line="240" w:lineRule="auto"/>
        <w:ind w:firstLine="640" w:firstLineChars="200"/>
        <w:jc w:val="left"/>
        <w:textAlignment w:val="auto"/>
        <w:rPr>
          <w:rFonts w:hint="eastAsia" w:ascii="Times New Roman" w:hAnsi="Times New Roman" w:eastAsia="黑体" w:cs="Times New Roman"/>
          <w:sz w:val="32"/>
          <w:szCs w:val="30"/>
          <w:highlight w:val="none"/>
          <w:lang w:val="zh-CN" w:eastAsia="zh-CN"/>
        </w:rPr>
      </w:pPr>
      <w:bookmarkStart w:id="26" w:name="_Toc8391"/>
      <w:bookmarkStart w:id="27" w:name="_Toc4591"/>
      <w:r>
        <w:rPr>
          <w:rFonts w:hint="eastAsia" w:ascii="Times New Roman" w:hAnsi="Times New Roman" w:eastAsia="黑体" w:cs="Times New Roman"/>
          <w:sz w:val="32"/>
          <w:szCs w:val="30"/>
          <w:highlight w:val="none"/>
          <w:lang w:val="zh-CN" w:eastAsia="zh-CN"/>
        </w:rPr>
        <w:t>（三）国有资产占用情况说明</w:t>
      </w:r>
      <w:bookmarkEnd w:id="26"/>
      <w:bookmarkEnd w:id="27"/>
    </w:p>
    <w:p>
      <w:pPr>
        <w:widowControl w:val="0"/>
        <w:wordWrap/>
        <w:adjustRightInd/>
        <w:snapToGrid/>
        <w:spacing w:line="240" w:lineRule="auto"/>
        <w:ind w:firstLine="640" w:firstLineChars="200"/>
        <w:jc w:val="left"/>
        <w:textAlignment w:val="auto"/>
        <w:rPr>
          <w:rFonts w:hint="eastAsia" w:ascii="Times New Roman" w:hAnsi="Times New Roman" w:eastAsia="仿宋_GB2312" w:cs="Times New Roman"/>
          <w:sz w:val="32"/>
          <w:szCs w:val="32"/>
          <w:highlight w:val="none"/>
          <w:lang w:val="zh-CN" w:eastAsia="zh-CN"/>
        </w:rPr>
      </w:pPr>
      <w:r>
        <w:rPr>
          <w:rFonts w:hint="eastAsia" w:ascii="Times New Roman" w:hAnsi="Times New Roman" w:eastAsia="仿宋_GB2312" w:cs="Times New Roman"/>
          <w:sz w:val="32"/>
          <w:szCs w:val="32"/>
          <w:highlight w:val="none"/>
          <w:lang w:val="en-US" w:eastAsia="zh-CN"/>
        </w:rPr>
        <w:t>截至2023</w:t>
      </w:r>
      <w:r>
        <w:rPr>
          <w:rFonts w:hint="eastAsia" w:ascii="Times New Roman" w:hAnsi="Times New Roman" w:eastAsia="仿宋_GB2312" w:cs="Times New Roman"/>
          <w:sz w:val="32"/>
          <w:szCs w:val="32"/>
          <w:highlight w:val="none"/>
          <w:lang w:val="zh-CN" w:eastAsia="zh-CN"/>
        </w:rPr>
        <w:t>年</w:t>
      </w:r>
      <w:r>
        <w:rPr>
          <w:rFonts w:hint="eastAsia" w:ascii="Times New Roman" w:hAnsi="Times New Roman" w:eastAsia="仿宋_GB2312" w:cs="Times New Roman"/>
          <w:sz w:val="32"/>
          <w:szCs w:val="32"/>
          <w:highlight w:val="none"/>
          <w:lang w:val="en-US" w:eastAsia="zh-CN"/>
        </w:rPr>
        <w:t>12月31日</w:t>
      </w:r>
      <w:r>
        <w:rPr>
          <w:rFonts w:hint="eastAsia" w:ascii="Times New Roman" w:hAnsi="Times New Roman" w:eastAsia="仿宋_GB2312" w:cs="Times New Roman"/>
          <w:sz w:val="32"/>
          <w:szCs w:val="32"/>
          <w:highlight w:val="none"/>
          <w:lang w:val="zh-CN" w:eastAsia="zh-CN"/>
        </w:rPr>
        <w:t>，</w:t>
      </w:r>
      <w:r>
        <w:rPr>
          <w:rFonts w:hint="eastAsia" w:ascii="Times New Roman" w:hAnsi="Times New Roman" w:eastAsia="仿宋_GB2312" w:cs="Times New Roman"/>
          <w:sz w:val="32"/>
          <w:szCs w:val="32"/>
          <w:highlight w:val="none"/>
          <w:lang w:val="en-US" w:eastAsia="zh-CN"/>
        </w:rPr>
        <w:t>固定资产原值</w:t>
      </w:r>
      <w:r>
        <w:rPr>
          <w:rFonts w:hint="eastAsia" w:ascii="Times New Roman" w:hAnsi="Times New Roman" w:eastAsia="仿宋_GB2312" w:cs="Times New Roman"/>
          <w:sz w:val="32"/>
          <w:szCs w:val="32"/>
          <w:highlight w:val="none"/>
          <w:lang w:val="zh-CN" w:eastAsia="zh-CN"/>
        </w:rPr>
        <w:t>1.31</w:t>
      </w:r>
      <w:r>
        <w:rPr>
          <w:rFonts w:hint="eastAsia" w:ascii="Times New Roman" w:hAnsi="Times New Roman" w:eastAsia="仿宋_GB2312" w:cs="Times New Roman"/>
          <w:sz w:val="32"/>
          <w:szCs w:val="32"/>
          <w:highlight w:val="none"/>
          <w:lang w:val="en-US" w:eastAsia="zh-CN"/>
        </w:rPr>
        <w:t>万元，房</w:t>
      </w:r>
      <w:r>
        <w:rPr>
          <w:rFonts w:hint="eastAsia" w:ascii="Times New Roman" w:hAnsi="Times New Roman" w:eastAsia="仿宋_GB2312" w:cs="Times New Roman"/>
          <w:sz w:val="32"/>
          <w:szCs w:val="32"/>
          <w:highlight w:val="none"/>
          <w:lang w:val="zh-CN" w:eastAsia="zh-CN"/>
        </w:rPr>
        <w:t>屋0.0平方米，价值0.00万元。车辆0辆，价值0.00万元，其中：副部（省）级及以上领导用车0辆、主要</w:t>
      </w:r>
      <w:r>
        <w:rPr>
          <w:rFonts w:hint="eastAsia" w:ascii="Times New Roman" w:hAnsi="Times New Roman" w:eastAsia="仿宋_GB2312" w:cs="Times New Roman"/>
          <w:sz w:val="32"/>
          <w:szCs w:val="32"/>
          <w:highlight w:val="none"/>
          <w:lang w:val="en-US" w:eastAsia="zh-CN"/>
        </w:rPr>
        <w:t>负责人</w:t>
      </w:r>
      <w:r>
        <w:rPr>
          <w:rFonts w:hint="eastAsia" w:ascii="Times New Roman" w:hAnsi="Times New Roman" w:eastAsia="仿宋_GB2312" w:cs="Times New Roman"/>
          <w:sz w:val="32"/>
          <w:szCs w:val="32"/>
          <w:highlight w:val="none"/>
          <w:lang w:val="zh-CN" w:eastAsia="zh-CN"/>
        </w:rPr>
        <w:t>用车0辆、机要通信用车0辆、应急保障用车0辆、执法执勤用车0辆、特种专业技术用车0辆、离退休干部</w:t>
      </w:r>
      <w:r>
        <w:rPr>
          <w:rFonts w:hint="eastAsia" w:ascii="Times New Roman" w:hAnsi="Times New Roman" w:eastAsia="仿宋_GB2312" w:cs="Times New Roman"/>
          <w:sz w:val="32"/>
          <w:szCs w:val="32"/>
          <w:highlight w:val="none"/>
          <w:lang w:val="en-US" w:eastAsia="zh-CN"/>
        </w:rPr>
        <w:t>服务</w:t>
      </w:r>
      <w:r>
        <w:rPr>
          <w:rFonts w:hint="eastAsia" w:ascii="Times New Roman" w:hAnsi="Times New Roman" w:eastAsia="仿宋_GB2312" w:cs="Times New Roman"/>
          <w:sz w:val="32"/>
          <w:szCs w:val="32"/>
          <w:highlight w:val="none"/>
          <w:lang w:val="zh-CN" w:eastAsia="zh-CN"/>
        </w:rPr>
        <w:t>用车0辆、其他用车0辆，其他用车主要是：</w:t>
      </w:r>
      <w:r>
        <w:rPr>
          <w:rFonts w:hint="eastAsia" w:eastAsia="仿宋_GB2312" w:cs="Times New Roman"/>
          <w:sz w:val="32"/>
          <w:szCs w:val="32"/>
          <w:highlight w:val="none"/>
          <w:lang w:val="zh-CN" w:eastAsia="zh-CN"/>
        </w:rPr>
        <w:t>无</w:t>
      </w:r>
      <w:r>
        <w:rPr>
          <w:rFonts w:hint="eastAsia" w:ascii="Times New Roman" w:hAnsi="Times New Roman" w:eastAsia="仿宋_GB2312" w:cs="Times New Roman"/>
          <w:sz w:val="32"/>
          <w:szCs w:val="32"/>
          <w:highlight w:val="none"/>
          <w:lang w:val="zh-CN" w:eastAsia="zh-CN"/>
        </w:rPr>
        <w:t>其他用车；单价100万元（含）以上设备（不含车辆）0</w:t>
      </w:r>
      <w:r>
        <w:rPr>
          <w:rFonts w:hint="eastAsia" w:ascii="Times New Roman" w:hAnsi="Times New Roman" w:eastAsia="仿宋_GB2312" w:cs="Times New Roman"/>
          <w:sz w:val="32"/>
          <w:szCs w:val="32"/>
          <w:highlight w:val="none"/>
          <w:lang w:val="en-US" w:eastAsia="zh-CN"/>
        </w:rPr>
        <w:t>台（</w:t>
      </w:r>
      <w:r>
        <w:rPr>
          <w:rFonts w:hint="eastAsia" w:ascii="Times New Roman" w:hAnsi="Times New Roman" w:eastAsia="仿宋_GB2312" w:cs="Times New Roman"/>
          <w:sz w:val="32"/>
          <w:szCs w:val="32"/>
          <w:highlight w:val="none"/>
          <w:lang w:val="zh-CN" w:eastAsia="zh-CN"/>
        </w:rPr>
        <w:t>套）。</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kern w:val="0"/>
          <w:sz w:val="32"/>
          <w:szCs w:val="32"/>
          <w:highlight w:val="none"/>
          <w:lang w:eastAsia="zh-CN"/>
        </w:rPr>
      </w:pPr>
      <w:bookmarkStart w:id="28" w:name="_Toc435"/>
      <w:bookmarkStart w:id="29"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28"/>
      <w:bookmarkEnd w:id="29"/>
    </w:p>
    <w:p>
      <w:pPr>
        <w:widowControl w:val="0"/>
        <w:wordWrap/>
        <w:adjustRightInd/>
        <w:snapToGrid/>
        <w:spacing w:line="240" w:lineRule="auto"/>
        <w:ind w:firstLine="640" w:firstLineChars="200"/>
        <w:jc w:val="left"/>
        <w:textAlignment w:val="auto"/>
        <w:rPr>
          <w:rFonts w:hint="eastAsia" w:ascii="仿宋_GB2312" w:eastAsia="仿宋_GB2312"/>
          <w:sz w:val="32"/>
          <w:szCs w:val="32"/>
        </w:rPr>
      </w:pPr>
      <w:r>
        <w:rPr>
          <w:rFonts w:hint="eastAsia" w:ascii="仿宋_GB2312" w:eastAsia="仿宋_GB2312"/>
          <w:sz w:val="32"/>
          <w:szCs w:val="32"/>
          <w:highlight w:val="none"/>
          <w:lang w:eastAsia="zh-CN"/>
        </w:rPr>
        <w:t>根据预算绩效管理要求，我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2023年度预算绩效评价项目</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w:t>
      </w:r>
      <w:r>
        <w:rPr>
          <w:rFonts w:ascii="仿宋_GB2312" w:eastAsia="仿宋_GB2312"/>
          <w:sz w:val="32"/>
          <w:szCs w:val="32"/>
        </w:rPr>
        <w:t>我单位无项目支出，仅涉及基本支出，故没有对项目进行自评</w:t>
      </w:r>
      <w:r>
        <w:rPr>
          <w:rFonts w:hint="eastAsia" w:ascii="仿宋_GB2312" w:eastAsia="仿宋_GB2312"/>
          <w:sz w:val="32"/>
          <w:szCs w:val="32"/>
        </w:rPr>
        <w:t>。</w:t>
      </w:r>
      <w:r>
        <w:rPr>
          <w:rFonts w:hint="eastAsia" w:ascii="仿宋_GB2312" w:eastAsia="仿宋_GB2312"/>
          <w:sz w:val="32"/>
          <w:szCs w:val="32"/>
          <w:highlight w:val="none"/>
          <w:lang w:eastAsia="zh-CN"/>
        </w:rPr>
        <w:t>发现的问题及原因：</w:t>
      </w:r>
      <w:r>
        <w:rPr>
          <w:rFonts w:ascii="仿宋_GB2312" w:eastAsia="仿宋_GB2312"/>
          <w:sz w:val="32"/>
          <w:szCs w:val="32"/>
        </w:rPr>
        <w:t>我单位无项目支出，仅涉及基本支出，故没有对项目进行自评</w:t>
      </w:r>
      <w:r>
        <w:rPr>
          <w:rFonts w:hint="eastAsia" w:ascii="仿宋_GB2312" w:eastAsia="仿宋_GB2312"/>
          <w:sz w:val="32"/>
          <w:szCs w:val="32"/>
          <w:highlight w:val="none"/>
          <w:lang w:eastAsia="zh-CN"/>
        </w:rPr>
        <w:t>。下一步改进措施：</w:t>
      </w:r>
      <w:r>
        <w:rPr>
          <w:rFonts w:ascii="仿宋_GB2312" w:eastAsia="仿宋_GB2312"/>
          <w:sz w:val="32"/>
          <w:szCs w:val="32"/>
        </w:rPr>
        <w:t>我单位无项目支出，仅涉及基本支出，故没有对项目进行自评</w:t>
      </w:r>
      <w:r>
        <w:rPr>
          <w:rFonts w:hint="eastAsia" w:ascii="仿宋_GB2312" w:eastAsia="仿宋_GB2312"/>
          <w:sz w:val="32"/>
          <w:szCs w:val="32"/>
        </w:rPr>
        <w:t>。</w:t>
      </w:r>
    </w:p>
    <w:p>
      <w:pPr>
        <w:widowControl w:val="0"/>
        <w:wordWrap/>
        <w:adjustRightInd/>
        <w:snapToGrid/>
        <w:spacing w:line="240" w:lineRule="auto"/>
        <w:ind w:firstLine="640" w:firstLineChars="200"/>
        <w:jc w:val="left"/>
        <w:textAlignment w:val="auto"/>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二</w:t>
      </w:r>
      <w:r>
        <w:rPr>
          <w:rFonts w:hint="eastAsia" w:ascii="黑体" w:hAnsi="黑体" w:eastAsia="黑体" w:cs="宋体"/>
          <w:bCs/>
          <w:kern w:val="0"/>
          <w:sz w:val="32"/>
          <w:szCs w:val="32"/>
          <w:highlight w:val="none"/>
          <w:lang w:eastAsia="zh-CN"/>
        </w:rPr>
        <w:t>、其他需说明的事项</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本单位无其他需说明事项</w:t>
      </w:r>
    </w:p>
    <w:p>
      <w:pPr>
        <w:widowControl w:val="0"/>
        <w:wordWrap/>
        <w:adjustRightInd/>
        <w:snapToGrid/>
        <w:spacing w:line="240" w:lineRule="auto"/>
        <w:ind w:firstLine="0" w:firstLineChars="0"/>
        <w:jc w:val="center"/>
        <w:textAlignment w:val="auto"/>
        <w:outlineLvl w:val="0"/>
        <w:rPr>
          <w:rFonts w:hint="eastAsia" w:ascii="黑体" w:hAnsi="黑体" w:eastAsia="黑体"/>
          <w:sz w:val="32"/>
          <w:szCs w:val="32"/>
          <w:highlight w:val="none"/>
        </w:rPr>
      </w:pPr>
      <w:bookmarkStart w:id="30" w:name="_Toc24143"/>
      <w:bookmarkStart w:id="31" w:name="_Toc3250"/>
      <w:r>
        <w:rPr>
          <w:rFonts w:hint="eastAsia" w:ascii="黑体" w:hAnsi="黑体" w:eastAsia="黑体"/>
          <w:sz w:val="32"/>
          <w:szCs w:val="32"/>
          <w:highlight w:val="none"/>
        </w:rPr>
        <w:br w:type="page"/>
      </w: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部分 专业名词解释</w:t>
      </w:r>
      <w:bookmarkEnd w:id="30"/>
      <w:bookmarkEnd w:id="31"/>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一、</w:t>
      </w:r>
      <w:r>
        <w:rPr>
          <w:rFonts w:hint="eastAsia" w:ascii="仿宋_GB2312" w:eastAsia="仿宋_GB2312"/>
          <w:b/>
          <w:bCs/>
          <w:sz w:val="32"/>
          <w:szCs w:val="32"/>
          <w:highlight w:val="none"/>
        </w:rPr>
        <w:t>财政拨款收入：</w:t>
      </w:r>
      <w:r>
        <w:rPr>
          <w:rFonts w:hint="eastAsia" w:ascii="仿宋_GB2312" w:eastAsia="仿宋_GB2312"/>
          <w:sz w:val="32"/>
          <w:szCs w:val="32"/>
          <w:highlight w:val="none"/>
        </w:rPr>
        <w:t>指同级财政当年拨付的资金。</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二、</w:t>
      </w:r>
      <w:r>
        <w:rPr>
          <w:rFonts w:hint="eastAsia" w:ascii="仿宋_GB2312" w:eastAsia="仿宋_GB2312"/>
          <w:b/>
          <w:bCs/>
          <w:sz w:val="32"/>
          <w:szCs w:val="32"/>
          <w:highlight w:val="none"/>
        </w:rPr>
        <w:t>上级补助收入：</w:t>
      </w:r>
      <w:r>
        <w:rPr>
          <w:rFonts w:hint="eastAsia" w:ascii="仿宋_GB2312" w:eastAsia="仿宋_GB2312"/>
          <w:sz w:val="32"/>
          <w:szCs w:val="32"/>
          <w:highlight w:val="none"/>
        </w:rPr>
        <w:t>指事业单位从主管部门和上级单位取得的非财政补助收入。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三、</w:t>
      </w:r>
      <w:r>
        <w:rPr>
          <w:rFonts w:hint="eastAsia" w:ascii="仿宋_GB2312" w:eastAsia="仿宋_GB2312"/>
          <w:b/>
          <w:bCs/>
          <w:sz w:val="32"/>
          <w:szCs w:val="32"/>
          <w:highlight w:val="none"/>
        </w:rPr>
        <w:t>事业收入：</w:t>
      </w:r>
      <w:r>
        <w:rPr>
          <w:rFonts w:hint="eastAsia" w:ascii="仿宋_GB2312" w:eastAsia="仿宋_GB2312"/>
          <w:sz w:val="32"/>
          <w:szCs w:val="32"/>
          <w:highlight w:val="none"/>
        </w:rPr>
        <w:t>指事业单位开展专业业务活动及其辅助活动所取得的收入。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四、</w:t>
      </w:r>
      <w:r>
        <w:rPr>
          <w:rFonts w:hint="eastAsia" w:ascii="仿宋_GB2312" w:eastAsia="仿宋_GB2312"/>
          <w:b/>
          <w:bCs/>
          <w:sz w:val="32"/>
          <w:szCs w:val="32"/>
          <w:highlight w:val="none"/>
        </w:rPr>
        <w:t>经营收入：</w:t>
      </w:r>
      <w:r>
        <w:rPr>
          <w:rFonts w:hint="eastAsia" w:ascii="仿宋_GB2312" w:eastAsia="仿宋_GB2312"/>
          <w:sz w:val="32"/>
          <w:szCs w:val="32"/>
          <w:highlight w:val="none"/>
        </w:rPr>
        <w:t>指事业单位在专业业务活动及其辅助活动之外开展非独立核算经营活动取得的收入。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五、</w:t>
      </w:r>
      <w:r>
        <w:rPr>
          <w:rFonts w:hint="eastAsia" w:ascii="仿宋_GB2312" w:eastAsia="仿宋_GB2312"/>
          <w:b/>
          <w:bCs/>
          <w:sz w:val="32"/>
          <w:szCs w:val="32"/>
          <w:highlight w:val="none"/>
        </w:rPr>
        <w:t>附属单位上缴收入：</w:t>
      </w:r>
      <w:r>
        <w:rPr>
          <w:rFonts w:hint="eastAsia" w:ascii="仿宋_GB2312" w:eastAsia="仿宋_GB2312"/>
          <w:sz w:val="32"/>
          <w:szCs w:val="32"/>
          <w:highlight w:val="none"/>
        </w:rPr>
        <w:t>指事业单位附属的独立核算单位按有关规定上缴的收入。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六、</w:t>
      </w:r>
      <w:r>
        <w:rPr>
          <w:rFonts w:hint="eastAsia" w:ascii="仿宋_GB2312" w:eastAsia="仿宋_GB2312"/>
          <w:b/>
          <w:bCs/>
          <w:sz w:val="32"/>
          <w:szCs w:val="32"/>
          <w:highlight w:val="none"/>
        </w:rPr>
        <w:t>其他收入：</w:t>
      </w:r>
      <w:r>
        <w:rPr>
          <w:rFonts w:hint="eastAsia" w:ascii="仿宋_GB2312" w:eastAsia="仿宋_GB2312"/>
          <w:sz w:val="32"/>
          <w:szCs w:val="32"/>
          <w:highlight w:val="none"/>
        </w:rPr>
        <w:t>指除上述“财政拨款收入”、“事业收入”、“经营收入”、“附属单位上缴收入”等之外取得的收入。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七、</w:t>
      </w:r>
      <w:r>
        <w:rPr>
          <w:rFonts w:hint="eastAsia" w:ascii="仿宋_GB2312" w:eastAsia="仿宋_GB2312"/>
          <w:b/>
          <w:bCs/>
          <w:sz w:val="32"/>
          <w:szCs w:val="32"/>
          <w:highlight w:val="none"/>
          <w:lang w:eastAsia="zh-CN"/>
        </w:rPr>
        <w:t>年初</w:t>
      </w:r>
      <w:r>
        <w:rPr>
          <w:rFonts w:hint="eastAsia" w:ascii="仿宋_GB2312" w:eastAsia="仿宋_GB2312"/>
          <w:b/>
          <w:bCs/>
          <w:sz w:val="32"/>
          <w:szCs w:val="32"/>
          <w:highlight w:val="none"/>
        </w:rPr>
        <w:t>结转和结余：</w:t>
      </w:r>
      <w:r>
        <w:rPr>
          <w:rFonts w:hint="eastAsia" w:ascii="仿宋_GB2312" w:eastAsia="仿宋_GB2312"/>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八、</w:t>
      </w:r>
      <w:r>
        <w:rPr>
          <w:rFonts w:hint="eastAsia" w:ascii="仿宋_GB2312" w:eastAsia="仿宋_GB2312"/>
          <w:b/>
          <w:bCs/>
          <w:sz w:val="32"/>
          <w:szCs w:val="32"/>
          <w:highlight w:val="none"/>
        </w:rPr>
        <w:t>年末结转和结余：</w:t>
      </w:r>
      <w:r>
        <w:rPr>
          <w:rFonts w:hint="eastAsia" w:ascii="仿宋_GB2312" w:eastAsia="仿宋_GB2312"/>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九、</w:t>
      </w:r>
      <w:r>
        <w:rPr>
          <w:rFonts w:hint="eastAsia" w:ascii="仿宋_GB2312" w:eastAsia="仿宋_GB2312"/>
          <w:b/>
          <w:bCs/>
          <w:sz w:val="32"/>
          <w:szCs w:val="32"/>
          <w:highlight w:val="none"/>
        </w:rPr>
        <w:t>基本支出：</w:t>
      </w:r>
      <w:r>
        <w:rPr>
          <w:rFonts w:hint="eastAsia" w:ascii="仿宋_GB2312" w:eastAsia="仿宋_GB2312"/>
          <w:sz w:val="32"/>
          <w:szCs w:val="32"/>
          <w:highlight w:val="none"/>
        </w:rPr>
        <w:t>指为保障机构正常运转、完成日常工作任务而发生的人员支出和公用支出。</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w:t>
      </w:r>
      <w:r>
        <w:rPr>
          <w:rFonts w:hint="eastAsia" w:ascii="仿宋_GB2312" w:eastAsia="仿宋_GB2312"/>
          <w:b/>
          <w:bCs/>
          <w:sz w:val="32"/>
          <w:szCs w:val="32"/>
          <w:highlight w:val="none"/>
        </w:rPr>
        <w:t>项目支出：</w:t>
      </w:r>
      <w:r>
        <w:rPr>
          <w:rFonts w:hint="eastAsia" w:ascii="仿宋_GB2312" w:eastAsia="仿宋_GB2312"/>
          <w:sz w:val="32"/>
          <w:szCs w:val="32"/>
          <w:highlight w:val="none"/>
        </w:rPr>
        <w:t>指在基本支出之外为完成特定行政任务和事业发展目标所发生的支出。</w:t>
      </w:r>
    </w:p>
    <w:p>
      <w:pPr>
        <w:widowControl w:val="0"/>
        <w:wordWrap/>
        <w:autoSpaceDE w:val="0"/>
        <w:autoSpaceDN w:val="0"/>
        <w:adjustRightInd/>
        <w:snapToGrid/>
        <w:spacing w:line="240" w:lineRule="auto"/>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十一、</w:t>
      </w:r>
      <w:r>
        <w:rPr>
          <w:rFonts w:hint="eastAsia" w:ascii="仿宋_GB2312" w:eastAsia="仿宋_GB2312"/>
          <w:b/>
          <w:bCs/>
          <w:sz w:val="32"/>
          <w:szCs w:val="32"/>
          <w:highlight w:val="none"/>
        </w:rPr>
        <w:t>经营支出：</w:t>
      </w:r>
      <w:r>
        <w:rPr>
          <w:rFonts w:hint="eastAsia" w:ascii="仿宋_GB2312" w:eastAsia="仿宋_GB2312"/>
          <w:sz w:val="32"/>
          <w:szCs w:val="32"/>
          <w:highlight w:val="none"/>
        </w:rPr>
        <w:t>指事业单位在专业业务活动及其辅助活动之外开展非独立核算经营活动发生的支出。</w:t>
      </w:r>
    </w:p>
    <w:p>
      <w:pPr>
        <w:widowControl w:val="0"/>
        <w:wordWrap/>
        <w:autoSpaceDE w:val="0"/>
        <w:autoSpaceDN w:val="0"/>
        <w:adjustRightInd/>
        <w:snapToGrid/>
        <w:spacing w:line="240" w:lineRule="auto"/>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十二、</w:t>
      </w:r>
      <w:r>
        <w:rPr>
          <w:rFonts w:hint="eastAsia" w:ascii="仿宋_GB2312" w:eastAsia="仿宋_GB2312"/>
          <w:b/>
          <w:bCs/>
          <w:sz w:val="32"/>
          <w:szCs w:val="32"/>
          <w:highlight w:val="none"/>
        </w:rPr>
        <w:t>对附属单位补助支出：</w:t>
      </w:r>
      <w:r>
        <w:rPr>
          <w:rFonts w:hint="eastAsia" w:ascii="仿宋_GB2312" w:eastAsia="仿宋_GB2312"/>
          <w:sz w:val="32"/>
          <w:szCs w:val="32"/>
          <w:highlight w:val="none"/>
        </w:rPr>
        <w:t>指事业单位发生的用非财政预算资金对附属单位的补助支出。</w:t>
      </w:r>
    </w:p>
    <w:p>
      <w:pPr>
        <w:widowControl w:val="0"/>
        <w:wordWrap/>
        <w:autoSpaceDE w:val="0"/>
        <w:autoSpaceDN w:val="0"/>
        <w:adjustRightInd/>
        <w:snapToGrid/>
        <w:spacing w:line="240" w:lineRule="auto"/>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bCs/>
          <w:sz w:val="32"/>
          <w:szCs w:val="32"/>
          <w:highlight w:val="none"/>
          <w:lang w:val="en-US" w:eastAsia="zh-CN"/>
        </w:rPr>
        <w:t>十三、</w:t>
      </w:r>
      <w:r>
        <w:rPr>
          <w:rFonts w:hint="eastAsia" w:ascii="仿宋_GB2312" w:eastAsia="仿宋_GB2312"/>
          <w:b/>
          <w:bCs/>
          <w:sz w:val="32"/>
          <w:szCs w:val="32"/>
          <w:highlight w:val="none"/>
        </w:rPr>
        <w:t>“三公”经费：</w:t>
      </w:r>
      <w:r>
        <w:rPr>
          <w:rFonts w:hint="eastAsia" w:ascii="仿宋_GB2312" w:eastAsia="仿宋_GB2312"/>
          <w:sz w:val="32"/>
          <w:szCs w:val="32"/>
          <w:highlight w:val="none"/>
        </w:rPr>
        <w:t>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widowControl w:val="0"/>
        <w:wordWrap/>
        <w:adjustRightInd/>
        <w:snapToGrid/>
        <w:spacing w:line="240" w:lineRule="auto"/>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十四、</w:t>
      </w:r>
      <w:r>
        <w:rPr>
          <w:rFonts w:hint="eastAsia" w:ascii="仿宋_GB2312" w:eastAsia="仿宋_GB2312"/>
          <w:b/>
          <w:bCs/>
          <w:sz w:val="32"/>
          <w:szCs w:val="32"/>
          <w:highlight w:val="none"/>
        </w:rPr>
        <w:t>机关运行经费：</w:t>
      </w:r>
      <w:r>
        <w:rPr>
          <w:rFonts w:hint="eastAsia" w:ascii="仿宋_GB2312" w:eastAsia="仿宋_GB2312"/>
          <w:sz w:val="32"/>
          <w:szCs w:val="32"/>
          <w:highlight w:val="none"/>
        </w:rPr>
        <w:t>行政单位和参照公务员法管理的事业单位财政拨款基本支出中的公用经费支出。</w:t>
      </w:r>
    </w:p>
    <w:p>
      <w:pPr>
        <w:widowControl w:val="0"/>
        <w:wordWrap/>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r>
        <w:rPr>
          <w:rFonts w:hint="eastAsia" w:ascii="黑体" w:hAnsi="黑体" w:eastAsia="黑体"/>
          <w:sz w:val="32"/>
          <w:szCs w:val="32"/>
          <w:highlight w:val="none"/>
        </w:rPr>
        <w:t>第四部分 部门决算报表（见附表）</w:t>
      </w:r>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2" w:name="_Toc6062"/>
      <w:bookmarkStart w:id="33" w:name="_Toc2183"/>
      <w:r>
        <w:rPr>
          <w:rFonts w:hint="eastAsia" w:ascii="黑体" w:hAnsi="黑体" w:eastAsia="仿宋_GB2312" w:cs="宋体"/>
          <w:bCs/>
          <w:kern w:val="0"/>
          <w:sz w:val="32"/>
          <w:szCs w:val="32"/>
          <w:highlight w:val="none"/>
        </w:rPr>
        <w:t>一、《收入支出决算总表》</w:t>
      </w:r>
      <w:bookmarkEnd w:id="32"/>
      <w:bookmarkEnd w:id="33"/>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4" w:name="_Toc24532"/>
      <w:bookmarkStart w:id="35" w:name="_Toc30364"/>
      <w:r>
        <w:rPr>
          <w:rFonts w:hint="eastAsia" w:ascii="黑体" w:hAnsi="黑体" w:eastAsia="仿宋_GB2312" w:cs="宋体"/>
          <w:bCs/>
          <w:kern w:val="0"/>
          <w:sz w:val="32"/>
          <w:szCs w:val="32"/>
          <w:highlight w:val="none"/>
        </w:rPr>
        <w:t>二、《收入决算表》</w:t>
      </w:r>
      <w:bookmarkEnd w:id="34"/>
      <w:bookmarkEnd w:id="35"/>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6" w:name="_Toc21304"/>
      <w:bookmarkStart w:id="37" w:name="_Toc32434"/>
      <w:r>
        <w:rPr>
          <w:rFonts w:hint="eastAsia" w:ascii="黑体" w:hAnsi="黑体" w:eastAsia="仿宋_GB2312" w:cs="宋体"/>
          <w:bCs/>
          <w:kern w:val="0"/>
          <w:sz w:val="32"/>
          <w:szCs w:val="32"/>
          <w:highlight w:val="none"/>
        </w:rPr>
        <w:t>三、《支出决算表》</w:t>
      </w:r>
      <w:bookmarkEnd w:id="36"/>
      <w:bookmarkEnd w:id="37"/>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38" w:name="_Toc28786"/>
      <w:bookmarkStart w:id="39" w:name="_Toc14238"/>
      <w:r>
        <w:rPr>
          <w:rFonts w:hint="eastAsia" w:ascii="黑体" w:hAnsi="黑体" w:eastAsia="仿宋_GB2312" w:cs="宋体"/>
          <w:bCs/>
          <w:kern w:val="0"/>
          <w:sz w:val="32"/>
          <w:szCs w:val="32"/>
          <w:highlight w:val="none"/>
        </w:rPr>
        <w:t>四、《财政拨款收入支出决算总表》</w:t>
      </w:r>
      <w:bookmarkEnd w:id="38"/>
      <w:bookmarkEnd w:id="39"/>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40" w:name="_Toc14869"/>
      <w:bookmarkStart w:id="41" w:name="_Toc10347"/>
      <w:r>
        <w:rPr>
          <w:rFonts w:hint="eastAsia" w:ascii="黑体" w:hAnsi="黑体" w:eastAsia="仿宋_GB2312" w:cs="宋体"/>
          <w:bCs/>
          <w:kern w:val="0"/>
          <w:sz w:val="32"/>
          <w:szCs w:val="32"/>
          <w:highlight w:val="none"/>
        </w:rPr>
        <w:t>五、《一般公共预算财政拨款支出决算表》</w:t>
      </w:r>
      <w:bookmarkEnd w:id="40"/>
      <w:bookmarkEnd w:id="41"/>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42" w:name="_Toc5626"/>
      <w:bookmarkStart w:id="43" w:name="_Toc8884"/>
      <w:r>
        <w:rPr>
          <w:rFonts w:hint="eastAsia" w:ascii="黑体" w:hAnsi="黑体" w:eastAsia="仿宋_GB2312" w:cs="宋体"/>
          <w:bCs/>
          <w:kern w:val="0"/>
          <w:sz w:val="32"/>
          <w:szCs w:val="32"/>
          <w:highlight w:val="none"/>
        </w:rPr>
        <w:t>六、《一般公共预算财政拨款基本支出决算表》</w:t>
      </w:r>
      <w:bookmarkEnd w:id="42"/>
      <w:bookmarkEnd w:id="43"/>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r>
        <w:rPr>
          <w:rFonts w:hint="eastAsia" w:ascii="黑体" w:hAnsi="黑体" w:eastAsia="仿宋_GB2312" w:cs="宋体"/>
          <w:bCs/>
          <w:kern w:val="0"/>
          <w:sz w:val="32"/>
          <w:szCs w:val="32"/>
          <w:highlight w:val="none"/>
        </w:rPr>
        <w:t>七、</w:t>
      </w:r>
      <w:bookmarkStart w:id="44" w:name="_Toc29106"/>
      <w:bookmarkStart w:id="45" w:name="_Toc32663"/>
      <w:r>
        <w:rPr>
          <w:rFonts w:hint="eastAsia" w:ascii="黑体" w:hAnsi="黑体" w:eastAsia="仿宋_GB2312" w:cs="宋体"/>
          <w:bCs/>
          <w:kern w:val="0"/>
          <w:sz w:val="32"/>
          <w:szCs w:val="32"/>
          <w:highlight w:val="none"/>
        </w:rPr>
        <w:t>《财政拨款“三公”经费支出决算表》</w:t>
      </w:r>
      <w:bookmarkEnd w:id="44"/>
      <w:bookmarkEnd w:id="45"/>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bookmarkStart w:id="46" w:name="_Toc5453"/>
      <w:bookmarkStart w:id="47" w:name="_Toc7643"/>
      <w:r>
        <w:rPr>
          <w:rFonts w:hint="eastAsia" w:ascii="黑体" w:hAnsi="黑体" w:eastAsia="仿宋_GB2312" w:cs="宋体"/>
          <w:bCs/>
          <w:kern w:val="0"/>
          <w:sz w:val="32"/>
          <w:szCs w:val="32"/>
          <w:highlight w:val="none"/>
        </w:rPr>
        <w:t>八、《政府性基金预算财政拨款收入支出决算表》</w:t>
      </w:r>
      <w:bookmarkEnd w:id="46"/>
      <w:bookmarkEnd w:id="47"/>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kern w:val="0"/>
          <w:sz w:val="32"/>
          <w:szCs w:val="32"/>
          <w:highlight w:val="none"/>
        </w:rPr>
      </w:pPr>
      <w:r>
        <w:rPr>
          <w:rFonts w:hint="eastAsia" w:ascii="黑体" w:hAnsi="黑体" w:eastAsia="仿宋_GB2312" w:cs="宋体"/>
          <w:bCs/>
          <w:kern w:val="0"/>
          <w:sz w:val="32"/>
          <w:szCs w:val="32"/>
          <w:highlight w:val="none"/>
          <w:lang w:val="en-US" w:eastAsia="zh-CN"/>
        </w:rPr>
        <w:t>九</w:t>
      </w:r>
      <w:r>
        <w:rPr>
          <w:rFonts w:hint="eastAsia" w:ascii="黑体" w:hAnsi="黑体" w:eastAsia="仿宋_GB2312" w:cs="宋体"/>
          <w:bCs/>
          <w:kern w:val="0"/>
          <w:sz w:val="32"/>
          <w:szCs w:val="32"/>
          <w:highlight w:val="none"/>
        </w:rPr>
        <w:t>、《</w:t>
      </w:r>
      <w:r>
        <w:rPr>
          <w:rFonts w:hint="eastAsia" w:ascii="黑体" w:hAnsi="黑体" w:eastAsia="仿宋_GB2312" w:cs="宋体"/>
          <w:bCs/>
          <w:kern w:val="0"/>
          <w:sz w:val="32"/>
          <w:szCs w:val="32"/>
          <w:highlight w:val="none"/>
          <w:lang w:eastAsia="zh-CN"/>
        </w:rPr>
        <w:t>国有资本经营</w:t>
      </w:r>
      <w:r>
        <w:rPr>
          <w:rFonts w:hint="eastAsia" w:ascii="黑体" w:hAnsi="黑体" w:eastAsia="仿宋_GB2312" w:cs="宋体"/>
          <w:bCs/>
          <w:kern w:val="0"/>
          <w:sz w:val="32"/>
          <w:szCs w:val="32"/>
          <w:highlight w:val="none"/>
        </w:rPr>
        <w:t>预算财政拨款收入支出决算表》</w:t>
      </w:r>
    </w:p>
    <w:p>
      <w:pPr>
        <w:widowControl w:val="0"/>
        <w:wordWrap/>
        <w:adjustRightInd/>
        <w:snapToGrid/>
        <w:spacing w:line="240" w:lineRule="auto"/>
        <w:ind w:firstLine="640" w:firstLineChars="200"/>
        <w:textAlignment w:val="auto"/>
        <w:rPr>
          <w:rFonts w:hint="eastAsia" w:ascii="仿宋_GB2312" w:eastAsia="仿宋_GB2312"/>
          <w:sz w:val="32"/>
          <w:szCs w:val="32"/>
          <w:highlight w:val="none"/>
        </w:rPr>
      </w:pPr>
    </w:p>
    <w:p>
      <w:pPr>
        <w:widowControl w:val="0"/>
        <w:wordWrap/>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AyOGZmZWJiZjkzMTc5MjUxM2FlYjUzNmFjOTJhZmYifQ=="/>
  </w:docVars>
  <w:rsids>
    <w:rsidRoot w:val="00000000"/>
    <w:rsid w:val="00213C59"/>
    <w:rsid w:val="003210CE"/>
    <w:rsid w:val="00B70D59"/>
    <w:rsid w:val="019404F8"/>
    <w:rsid w:val="02F73D26"/>
    <w:rsid w:val="034D4FEF"/>
    <w:rsid w:val="035D1785"/>
    <w:rsid w:val="039F47CE"/>
    <w:rsid w:val="03E05CE8"/>
    <w:rsid w:val="03F973EE"/>
    <w:rsid w:val="0403085B"/>
    <w:rsid w:val="043E5B56"/>
    <w:rsid w:val="04C04386"/>
    <w:rsid w:val="04FA68C4"/>
    <w:rsid w:val="051A7AAF"/>
    <w:rsid w:val="053F5AE6"/>
    <w:rsid w:val="057C0B0F"/>
    <w:rsid w:val="05EF4B48"/>
    <w:rsid w:val="05F76ECA"/>
    <w:rsid w:val="06792773"/>
    <w:rsid w:val="07093795"/>
    <w:rsid w:val="07804730"/>
    <w:rsid w:val="079052BE"/>
    <w:rsid w:val="08422688"/>
    <w:rsid w:val="0879188F"/>
    <w:rsid w:val="08A0354D"/>
    <w:rsid w:val="08CD4C49"/>
    <w:rsid w:val="09114954"/>
    <w:rsid w:val="095A5B83"/>
    <w:rsid w:val="096466E3"/>
    <w:rsid w:val="0968304D"/>
    <w:rsid w:val="09AF3D17"/>
    <w:rsid w:val="0A7B4867"/>
    <w:rsid w:val="0A840954"/>
    <w:rsid w:val="0A9928ED"/>
    <w:rsid w:val="0B8C3ECC"/>
    <w:rsid w:val="0B9C639D"/>
    <w:rsid w:val="0BB052B2"/>
    <w:rsid w:val="0BD33FFC"/>
    <w:rsid w:val="0BE97AC1"/>
    <w:rsid w:val="0C1C4780"/>
    <w:rsid w:val="0C3613A3"/>
    <w:rsid w:val="0C5E519C"/>
    <w:rsid w:val="0C7227A7"/>
    <w:rsid w:val="0CA52EE8"/>
    <w:rsid w:val="0CBD6988"/>
    <w:rsid w:val="0CD208AC"/>
    <w:rsid w:val="0D4903E8"/>
    <w:rsid w:val="0E640559"/>
    <w:rsid w:val="0E817608"/>
    <w:rsid w:val="0F1113DA"/>
    <w:rsid w:val="0F78534A"/>
    <w:rsid w:val="0F89358A"/>
    <w:rsid w:val="0F8C6D51"/>
    <w:rsid w:val="103A4A8E"/>
    <w:rsid w:val="105B0B5E"/>
    <w:rsid w:val="10E81560"/>
    <w:rsid w:val="112E58D0"/>
    <w:rsid w:val="11731CAC"/>
    <w:rsid w:val="119500A0"/>
    <w:rsid w:val="11C0733B"/>
    <w:rsid w:val="120E0809"/>
    <w:rsid w:val="127F665A"/>
    <w:rsid w:val="12F7068C"/>
    <w:rsid w:val="14B932DA"/>
    <w:rsid w:val="154C1139"/>
    <w:rsid w:val="158C5B77"/>
    <w:rsid w:val="160D1149"/>
    <w:rsid w:val="163563C0"/>
    <w:rsid w:val="164315EF"/>
    <w:rsid w:val="167268FB"/>
    <w:rsid w:val="16D50C50"/>
    <w:rsid w:val="16E120E1"/>
    <w:rsid w:val="17385A05"/>
    <w:rsid w:val="173B3901"/>
    <w:rsid w:val="176747F9"/>
    <w:rsid w:val="17954A6E"/>
    <w:rsid w:val="180059E9"/>
    <w:rsid w:val="184510FD"/>
    <w:rsid w:val="190648B0"/>
    <w:rsid w:val="19071D6C"/>
    <w:rsid w:val="19D26CD4"/>
    <w:rsid w:val="19E60D19"/>
    <w:rsid w:val="1A3E3450"/>
    <w:rsid w:val="1AD807E5"/>
    <w:rsid w:val="1B39345B"/>
    <w:rsid w:val="1C290ED5"/>
    <w:rsid w:val="1C317E4F"/>
    <w:rsid w:val="1C472464"/>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3326B7F"/>
    <w:rsid w:val="2380045B"/>
    <w:rsid w:val="23BC04D2"/>
    <w:rsid w:val="2483647E"/>
    <w:rsid w:val="24A32D55"/>
    <w:rsid w:val="25292727"/>
    <w:rsid w:val="256F7692"/>
    <w:rsid w:val="25BA2154"/>
    <w:rsid w:val="25C8773F"/>
    <w:rsid w:val="264A7253"/>
    <w:rsid w:val="27201D62"/>
    <w:rsid w:val="27286E73"/>
    <w:rsid w:val="272F7A9E"/>
    <w:rsid w:val="27CF2642"/>
    <w:rsid w:val="27E777F5"/>
    <w:rsid w:val="27EA1D4C"/>
    <w:rsid w:val="27EA2E41"/>
    <w:rsid w:val="282459E2"/>
    <w:rsid w:val="283A7FE5"/>
    <w:rsid w:val="285F51FF"/>
    <w:rsid w:val="28DF2665"/>
    <w:rsid w:val="29072599"/>
    <w:rsid w:val="291029F3"/>
    <w:rsid w:val="29CB58F0"/>
    <w:rsid w:val="2A053397"/>
    <w:rsid w:val="2A145E96"/>
    <w:rsid w:val="2AF5378F"/>
    <w:rsid w:val="2BB94DBF"/>
    <w:rsid w:val="2C6F314E"/>
    <w:rsid w:val="2CC206BE"/>
    <w:rsid w:val="2D1136DF"/>
    <w:rsid w:val="2D20606D"/>
    <w:rsid w:val="2DB87198"/>
    <w:rsid w:val="2DB93C54"/>
    <w:rsid w:val="2E3D144C"/>
    <w:rsid w:val="2E891204"/>
    <w:rsid w:val="2F3F0A28"/>
    <w:rsid w:val="2FBF7029"/>
    <w:rsid w:val="2FD0187F"/>
    <w:rsid w:val="2FD27414"/>
    <w:rsid w:val="2FFE4BB0"/>
    <w:rsid w:val="300E7B60"/>
    <w:rsid w:val="300F6E18"/>
    <w:rsid w:val="30862F5F"/>
    <w:rsid w:val="314029C9"/>
    <w:rsid w:val="31C63837"/>
    <w:rsid w:val="31C82E39"/>
    <w:rsid w:val="32601BAD"/>
    <w:rsid w:val="3389023A"/>
    <w:rsid w:val="33CB74FA"/>
    <w:rsid w:val="343642F2"/>
    <w:rsid w:val="343F3010"/>
    <w:rsid w:val="345D0A00"/>
    <w:rsid w:val="34713BFD"/>
    <w:rsid w:val="34C13589"/>
    <w:rsid w:val="35E00D72"/>
    <w:rsid w:val="36965B9D"/>
    <w:rsid w:val="36C549FD"/>
    <w:rsid w:val="37A755DD"/>
    <w:rsid w:val="37F94FA0"/>
    <w:rsid w:val="38115B1F"/>
    <w:rsid w:val="385E3AC3"/>
    <w:rsid w:val="387D6B9E"/>
    <w:rsid w:val="38B75FF0"/>
    <w:rsid w:val="38D45016"/>
    <w:rsid w:val="38D4696E"/>
    <w:rsid w:val="38D90432"/>
    <w:rsid w:val="3914510A"/>
    <w:rsid w:val="3926770B"/>
    <w:rsid w:val="398D3668"/>
    <w:rsid w:val="39DA0497"/>
    <w:rsid w:val="3A893816"/>
    <w:rsid w:val="3A893B6D"/>
    <w:rsid w:val="3AD1763A"/>
    <w:rsid w:val="3B6716E3"/>
    <w:rsid w:val="3B6C6B2D"/>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EC6CEF"/>
    <w:rsid w:val="3F183429"/>
    <w:rsid w:val="3FB77A1D"/>
    <w:rsid w:val="3FED7F8A"/>
    <w:rsid w:val="40094AEF"/>
    <w:rsid w:val="405470BD"/>
    <w:rsid w:val="40794A29"/>
    <w:rsid w:val="40834692"/>
    <w:rsid w:val="414B3C0F"/>
    <w:rsid w:val="417C1CE7"/>
    <w:rsid w:val="41900018"/>
    <w:rsid w:val="41944406"/>
    <w:rsid w:val="41CE128F"/>
    <w:rsid w:val="41DA6F12"/>
    <w:rsid w:val="42171FB1"/>
    <w:rsid w:val="434E6957"/>
    <w:rsid w:val="43BA0E31"/>
    <w:rsid w:val="43C15147"/>
    <w:rsid w:val="43E14DD2"/>
    <w:rsid w:val="43F800E9"/>
    <w:rsid w:val="443A7E4B"/>
    <w:rsid w:val="452F5B3A"/>
    <w:rsid w:val="454E7FD2"/>
    <w:rsid w:val="46061BDC"/>
    <w:rsid w:val="461404F8"/>
    <w:rsid w:val="46413018"/>
    <w:rsid w:val="464B7E04"/>
    <w:rsid w:val="468041AA"/>
    <w:rsid w:val="468123C6"/>
    <w:rsid w:val="46901EEE"/>
    <w:rsid w:val="469C74D2"/>
    <w:rsid w:val="47445515"/>
    <w:rsid w:val="47D90D14"/>
    <w:rsid w:val="48387FB0"/>
    <w:rsid w:val="483A6114"/>
    <w:rsid w:val="488727DB"/>
    <w:rsid w:val="48C354B3"/>
    <w:rsid w:val="493D58B5"/>
    <w:rsid w:val="494A7A04"/>
    <w:rsid w:val="4A2019A5"/>
    <w:rsid w:val="4A241A0B"/>
    <w:rsid w:val="4A7B2875"/>
    <w:rsid w:val="4A934476"/>
    <w:rsid w:val="4AAA220A"/>
    <w:rsid w:val="4AE12E67"/>
    <w:rsid w:val="4B4C0111"/>
    <w:rsid w:val="4BDB3730"/>
    <w:rsid w:val="4C200F7A"/>
    <w:rsid w:val="4CEE3180"/>
    <w:rsid w:val="4DBC378A"/>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B5F45"/>
    <w:rsid w:val="51025EB1"/>
    <w:rsid w:val="51141503"/>
    <w:rsid w:val="518D0ED5"/>
    <w:rsid w:val="52F647F7"/>
    <w:rsid w:val="52F92565"/>
    <w:rsid w:val="53D03877"/>
    <w:rsid w:val="542F73CA"/>
    <w:rsid w:val="5430786D"/>
    <w:rsid w:val="556A442D"/>
    <w:rsid w:val="55DA564E"/>
    <w:rsid w:val="5604127D"/>
    <w:rsid w:val="56166703"/>
    <w:rsid w:val="56510474"/>
    <w:rsid w:val="56861525"/>
    <w:rsid w:val="56A93273"/>
    <w:rsid w:val="56BD550C"/>
    <w:rsid w:val="56E07045"/>
    <w:rsid w:val="56FF28AF"/>
    <w:rsid w:val="57540E7D"/>
    <w:rsid w:val="577B4878"/>
    <w:rsid w:val="57926973"/>
    <w:rsid w:val="58175352"/>
    <w:rsid w:val="581F2200"/>
    <w:rsid w:val="583059FA"/>
    <w:rsid w:val="584A0929"/>
    <w:rsid w:val="58CD2491"/>
    <w:rsid w:val="591B41B2"/>
    <w:rsid w:val="59254A26"/>
    <w:rsid w:val="59326325"/>
    <w:rsid w:val="595C505B"/>
    <w:rsid w:val="595E55C3"/>
    <w:rsid w:val="596E7E20"/>
    <w:rsid w:val="5A60780B"/>
    <w:rsid w:val="5AB34579"/>
    <w:rsid w:val="5AFC6609"/>
    <w:rsid w:val="5BD456CE"/>
    <w:rsid w:val="5C0D1F49"/>
    <w:rsid w:val="5CBB0CE2"/>
    <w:rsid w:val="5CC17177"/>
    <w:rsid w:val="5CF306BC"/>
    <w:rsid w:val="5D3F3D64"/>
    <w:rsid w:val="5D833043"/>
    <w:rsid w:val="5DD92690"/>
    <w:rsid w:val="5DDB1CFD"/>
    <w:rsid w:val="5E7E6D93"/>
    <w:rsid w:val="5ED44800"/>
    <w:rsid w:val="5F350BDE"/>
    <w:rsid w:val="5FA17648"/>
    <w:rsid w:val="5FE705CB"/>
    <w:rsid w:val="603D5080"/>
    <w:rsid w:val="60D0261B"/>
    <w:rsid w:val="61947DCA"/>
    <w:rsid w:val="61A46A97"/>
    <w:rsid w:val="61D1382F"/>
    <w:rsid w:val="61F114A2"/>
    <w:rsid w:val="62512BB4"/>
    <w:rsid w:val="625D7D1A"/>
    <w:rsid w:val="62DD7D21"/>
    <w:rsid w:val="637D586B"/>
    <w:rsid w:val="63A5560B"/>
    <w:rsid w:val="63E9091F"/>
    <w:rsid w:val="64D6010D"/>
    <w:rsid w:val="64D82665"/>
    <w:rsid w:val="64E47C96"/>
    <w:rsid w:val="651E5741"/>
    <w:rsid w:val="658A4877"/>
    <w:rsid w:val="65A00902"/>
    <w:rsid w:val="65AC6EDD"/>
    <w:rsid w:val="65D97752"/>
    <w:rsid w:val="66085536"/>
    <w:rsid w:val="66105BF7"/>
    <w:rsid w:val="66150023"/>
    <w:rsid w:val="6628010D"/>
    <w:rsid w:val="669B4528"/>
    <w:rsid w:val="66CC12D7"/>
    <w:rsid w:val="67134CEF"/>
    <w:rsid w:val="671F1ABD"/>
    <w:rsid w:val="67521A59"/>
    <w:rsid w:val="67C304AB"/>
    <w:rsid w:val="683F0658"/>
    <w:rsid w:val="689C6793"/>
    <w:rsid w:val="68DB0208"/>
    <w:rsid w:val="68FB170C"/>
    <w:rsid w:val="691B3D98"/>
    <w:rsid w:val="693748F0"/>
    <w:rsid w:val="69846A0E"/>
    <w:rsid w:val="69AD798C"/>
    <w:rsid w:val="69D005C0"/>
    <w:rsid w:val="69D80B96"/>
    <w:rsid w:val="6A586DCB"/>
    <w:rsid w:val="6B68175F"/>
    <w:rsid w:val="6BFD799F"/>
    <w:rsid w:val="6C4A2E5A"/>
    <w:rsid w:val="6CEF0725"/>
    <w:rsid w:val="6D4B2604"/>
    <w:rsid w:val="6D8030E4"/>
    <w:rsid w:val="6E0E35C4"/>
    <w:rsid w:val="6E0F7A08"/>
    <w:rsid w:val="6E3947F5"/>
    <w:rsid w:val="6E9C74ED"/>
    <w:rsid w:val="6EF72976"/>
    <w:rsid w:val="6F795A80"/>
    <w:rsid w:val="6F7C1D2E"/>
    <w:rsid w:val="6F8E0407"/>
    <w:rsid w:val="6FDD069F"/>
    <w:rsid w:val="702B4D16"/>
    <w:rsid w:val="70AA6621"/>
    <w:rsid w:val="7111480F"/>
    <w:rsid w:val="71261F49"/>
    <w:rsid w:val="712E6956"/>
    <w:rsid w:val="71473612"/>
    <w:rsid w:val="71504F32"/>
    <w:rsid w:val="7152309F"/>
    <w:rsid w:val="718F7F65"/>
    <w:rsid w:val="727B234E"/>
    <w:rsid w:val="72D068C7"/>
    <w:rsid w:val="72E42ED8"/>
    <w:rsid w:val="735F4CB9"/>
    <w:rsid w:val="73657AE4"/>
    <w:rsid w:val="73674C62"/>
    <w:rsid w:val="73845865"/>
    <w:rsid w:val="739B6D9E"/>
    <w:rsid w:val="73BC1D76"/>
    <w:rsid w:val="73FB6630"/>
    <w:rsid w:val="748D790E"/>
    <w:rsid w:val="749820CC"/>
    <w:rsid w:val="74CE04EC"/>
    <w:rsid w:val="74E76DCD"/>
    <w:rsid w:val="75722D56"/>
    <w:rsid w:val="75DB5477"/>
    <w:rsid w:val="75FC6AC3"/>
    <w:rsid w:val="7616619B"/>
    <w:rsid w:val="76660D7C"/>
    <w:rsid w:val="766C5968"/>
    <w:rsid w:val="76BE0C8F"/>
    <w:rsid w:val="76CD53B2"/>
    <w:rsid w:val="770719AC"/>
    <w:rsid w:val="776526CC"/>
    <w:rsid w:val="77A262E1"/>
    <w:rsid w:val="77B13C33"/>
    <w:rsid w:val="77ED6F44"/>
    <w:rsid w:val="77F45548"/>
    <w:rsid w:val="784E7CA6"/>
    <w:rsid w:val="78574801"/>
    <w:rsid w:val="7873527F"/>
    <w:rsid w:val="790E2D96"/>
    <w:rsid w:val="791B54B2"/>
    <w:rsid w:val="795A0A34"/>
    <w:rsid w:val="79F00650"/>
    <w:rsid w:val="7A6242BF"/>
    <w:rsid w:val="7AE952D2"/>
    <w:rsid w:val="7C976D69"/>
    <w:rsid w:val="7CD752DA"/>
    <w:rsid w:val="7CDE40AB"/>
    <w:rsid w:val="7D1548B5"/>
    <w:rsid w:val="7DF84014"/>
    <w:rsid w:val="7E207949"/>
    <w:rsid w:val="7E670C75"/>
    <w:rsid w:val="7EE24272"/>
    <w:rsid w:val="7EEA6053"/>
    <w:rsid w:val="7F487C04"/>
    <w:rsid w:val="7FB45F21"/>
    <w:rsid w:val="7FE570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Strong"/>
    <w:basedOn w:val="9"/>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lang w:val="en-US" w:eastAsia="zh-CN" w:bidi="ar-SA"/>
    </w:rPr>
  </w:style>
  <w:style w:type="paragraph" w:customStyle="1" w:styleId="1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6508</Words>
  <Characters>21857</Characters>
  <Lines>0</Lines>
  <Paragraphs>0</Paragraphs>
  <TotalTime>25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2024-10-12T08:36:11Z</dcterms:modified>
  <dc:title>新疆维吾尔自治区审计厅机关服务中心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34A4DC6C1FEF42448F61363EE04F5F4F_13</vt:lpwstr>
  </property>
</Properties>
</file>