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宋体" w:eastAsia="宋体"/>
          <w:sz w:val="32"/>
          <w:szCs w:val="32"/>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宋体" w:eastAsia="宋体"/>
          <w:sz w:val="44"/>
          <w:szCs w:val="44"/>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宋体" w:eastAsia="宋体"/>
          <w:sz w:val="44"/>
          <w:szCs w:val="44"/>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宋体" w:eastAsia="宋体"/>
          <w:sz w:val="44"/>
          <w:szCs w:val="44"/>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0"/>
        <w:rPr>
          <w:rFonts w:ascii="宋体" w:eastAsia="黑体"/>
          <w:sz w:val="44"/>
          <w:szCs w:val="44"/>
        </w:rPr>
      </w:pPr>
      <w:r>
        <w:rPr>
          <w:rFonts w:ascii="宋体" w:eastAsia="黑体"/>
          <w:b w:val="0"/>
          <w:sz w:val="44"/>
          <w:szCs w:val="44"/>
        </w:rPr>
        <w:t>新疆维吾尔自治区审计干部宣传教育中心</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0"/>
        <w:rPr>
          <w:rFonts w:ascii="黑体" w:eastAsia="黑体"/>
          <w:sz w:val="44"/>
          <w:szCs w:val="44"/>
        </w:rPr>
      </w:pPr>
      <w:r>
        <w:rPr>
          <w:rFonts w:ascii="黑体" w:eastAsia="黑体"/>
          <w:b w:val="0"/>
          <w:sz w:val="44"/>
          <w:szCs w:val="44"/>
        </w:rPr>
        <w:t>2024年度部门决算公开说明</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pPr>
      <w:r>
        <w:rPr>
          <w:b w:val="0"/>
          <w:sz w:val="0"/>
          <w:szCs w:val="0"/>
        </w:rPr>
        <w:br w:type="page"/>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rPr>
          <w:rFonts w:ascii="黑体" w:eastAsia="黑体"/>
          <w:sz w:val="32"/>
          <w:szCs w:val="32"/>
        </w:rPr>
      </w:pPr>
      <w:r>
        <w:rPr>
          <w:rFonts w:ascii="黑体" w:eastAsia="黑体"/>
          <w:b/>
          <w:sz w:val="32"/>
          <w:szCs w:val="32"/>
        </w:rPr>
        <w:t>目  录</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sz w:val="32"/>
          <w:szCs w:val="32"/>
        </w:rPr>
        <w:t>第一部分单位概况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一、主要职能</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二、机构设置及人员情况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sz w:val="32"/>
          <w:szCs w:val="32"/>
        </w:rPr>
        <w:t>第二部分 部门决算情况说明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二、收入决算情况说明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三、支出决算情况说明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（一）一般公共预算财政拨款支出决算总体情况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（二）一般公共预算财政拨款支出决算结构情况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（三）一般公共预算财政拨款支出决算具体情况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七、政府性基金预算财政拨款收入支出决算情况说明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八、国有资本经营预算财政拨款收入支出决算情况说明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九、财政拨款“三公”经费支出决算情况说明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​十、其他重要事项的情况说明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（一）机关运行经费及公用经费支出情况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（二）政府采购情况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十一、预算绩效的情况说明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十二、其他需说明的事项</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sz w:val="32"/>
          <w:szCs w:val="32"/>
        </w:rPr>
        <w:t>第三部分 专业名词解释</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sz w:val="32"/>
          <w:szCs w:val="32"/>
        </w:rPr>
        <w:t>第四部分 部门决算报表（见附表）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一、《收入支出决算总表》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二、《收入决算表》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三、《支出决算表》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四、《财政拨款收入支出决算总表》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五、《一般公共预算财政拨款支出决算表》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六、《一般公共预算财政拨款基本支出决算表》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七、《政府性基金预算财政拨款收入支出决算表》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八、《国有资本经营预算财政拨款收入支出决算表》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九、《财政拨款“三公”经费支出决算表》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pPr>
      <w:r>
        <w:rPr>
          <w:b w:val="0"/>
          <w:sz w:val="0"/>
          <w:szCs w:val="0"/>
        </w:rPr>
        <w:br w:type="page"/>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0"/>
        <w:rPr>
          <w:rFonts w:ascii="黑体" w:eastAsia="黑体"/>
          <w:sz w:val="32"/>
          <w:szCs w:val="32"/>
        </w:rPr>
      </w:pPr>
      <w:r>
        <w:rPr>
          <w:rFonts w:ascii="黑体" w:eastAsia="黑体"/>
          <w:b w:val="0"/>
          <w:sz w:val="32"/>
          <w:szCs w:val="32"/>
        </w:rPr>
        <w:t>第一部分 单位概况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 一、主要职能</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提高审计工作质量，促进审计工作发展。负责全区审计机关干部教育培训工作；负责审计干部职业教育工作；协助厅机关做好审计宣传等工作。</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二、机构设置及人员情况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b w:val="0"/>
          <w:sz w:val="32"/>
          <w:szCs w:val="32"/>
        </w:rPr>
        <w:t>新疆维吾尔自治区审计干部宣传教育中心2024年度，实有人数28人，其中：在职人员11人，减少2人；离休人员0人，较上年无变化；退休人员17人，增加2人。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新疆维吾尔自治区审计干部宣传教育中心无下属预算单位，</w:t>
      </w:r>
      <w:r>
        <w:rPr>
          <w:rFonts w:hint="eastAsia" w:ascii="仿宋_GB2312" w:hAnsi="黑体" w:eastAsia="仿宋_GB2312" w:cs="宋体"/>
          <w:bCs/>
          <w:kern w:val="0"/>
          <w:sz w:val="32"/>
          <w:szCs w:val="32"/>
          <w:highlight w:val="none"/>
          <w:lang w:eastAsia="zh-CN"/>
        </w:rPr>
        <w:t>无</w:t>
      </w:r>
      <w:r>
        <w:rPr>
          <w:rFonts w:hint="eastAsia" w:ascii="仿宋_GB2312" w:hAnsi="黑体" w:eastAsia="仿宋_GB2312" w:cs="宋体"/>
          <w:bCs/>
          <w:kern w:val="0"/>
          <w:sz w:val="32"/>
          <w:szCs w:val="32"/>
          <w:highlight w:val="none"/>
        </w:rPr>
        <w:t>下设处室</w:t>
      </w:r>
      <w:r>
        <w:rPr>
          <w:rFonts w:hint="eastAsia" w:ascii="仿宋_GB2312" w:hAnsi="宋体" w:eastAsia="仿宋_GB2312" w:cs="宋体"/>
          <w:kern w:val="0"/>
          <w:sz w:val="32"/>
          <w:szCs w:val="32"/>
          <w:highlight w:val="none"/>
        </w:rPr>
        <w:t>。</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pPr>
      <w:r>
        <w:rPr>
          <w:b w:val="0"/>
          <w:sz w:val="0"/>
          <w:szCs w:val="0"/>
        </w:rPr>
        <w:br w:type="page"/>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0"/>
        <w:rPr>
          <w:rFonts w:ascii="黑体" w:eastAsia="黑体"/>
          <w:sz w:val="32"/>
          <w:szCs w:val="32"/>
        </w:rPr>
      </w:pPr>
      <w:r>
        <w:rPr>
          <w:rFonts w:ascii="黑体" w:eastAsia="黑体"/>
          <w:b w:val="0"/>
          <w:sz w:val="32"/>
          <w:szCs w:val="32"/>
        </w:rPr>
        <w:t>第二部分 部门决算情况说明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2024年度收入总计338.74万元，其中：本年收入合计325.50万元，使用非财政拨款结余（含专用结余）0.00万元，年初结转和结余13.24万元。</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2024年度支出总计338.74万元，其中：本年支出合计325.49万元，结余分配0.00万元，年末结转和结余13.25万元。</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收入支出总体与上年相比，增加8.88万元，增长2.69%，主要原因是：人员工资调整和人员费用增加。</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二、收入决算情况说明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本年收入325.50万元，其中：财政拨款收入325.46万元,占99.99%；上级补助收入0.00万元,占0.00%；事业收入0.00万元，占0.00%；经营收入0.00万元,占0.00%；附属单位上缴收入0.00万元，占0.00%；其他收入0.04万元，占0.01%。</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三、支出决算情况说明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本年支出325.49万元，其中：基本支出306.90万元，占94.29%；项目支出18.59万元，占5.71%；上缴上级支出0.00万元，占0.00%；经营支出0.00万元，占0.00%；对附属单位补助支出0.00万元，占0.00%。</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2024年度财政拨款收入总计338.29万元，其中：年初财政拨款结转和结余12.83万元，本年财政拨款收入325.46万元。财政拨款支出总计338.29万元，其中：年末财政拨款结转和结余12.83万元，本年财政拨款支出325.46万元。</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财政拨款收入支出总体与上年相比，增加8.84万元，增长2.68%，主要原因是：人员工资调整和人员费用增加。与年初预算相比，年初预算数313.85万元，决算数338.29万元，预决算差异率7.79%，主要原因是：年中追加职业年金。</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2"/>
        <w:rPr>
          <w:rFonts w:ascii="黑体" w:eastAsia="黑体"/>
          <w:b w:val="0"/>
          <w:bCs/>
          <w:sz w:val="32"/>
          <w:szCs w:val="32"/>
        </w:rPr>
      </w:pPr>
      <w:r>
        <w:rPr>
          <w:rFonts w:ascii="黑体" w:eastAsia="黑体"/>
          <w:b w:val="0"/>
          <w:bCs/>
          <w:sz w:val="32"/>
          <w:szCs w:val="32"/>
        </w:rPr>
        <w:t>（一）一般公共预算财政拨款支出决算总体情况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一般公共预算财政拨款支出325.46万元，占本年支出合计的99.99%。与上年相比，增加8.84万元，增长2.79%，主要原因是：人员工资调整和人员费用增加。与年初预算相比，年初预算数313.85万元，决算数325.46万元，预决算差异率3.70%，主要原因是：年中追加职业年金。</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2"/>
        <w:rPr>
          <w:rFonts w:ascii="黑体" w:eastAsia="黑体"/>
          <w:b w:val="0"/>
          <w:bCs/>
          <w:sz w:val="32"/>
          <w:szCs w:val="32"/>
        </w:rPr>
      </w:pPr>
      <w:r>
        <w:rPr>
          <w:rFonts w:ascii="黑体" w:eastAsia="黑体"/>
          <w:b w:val="0"/>
          <w:bCs/>
          <w:sz w:val="32"/>
          <w:szCs w:val="32"/>
        </w:rPr>
        <w:t>（二）一般公共预算财政拨款支出决算结构情况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一般公共服务支出（类）208.73万元，占64.13%。</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社会保障和就业支出（类）75.11万元，占23.08%。</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卫生健康支出（类）23.06万元，占7.09%。</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住房保障支出（类）18.56万元，占5.70%。</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2"/>
        <w:rPr>
          <w:rFonts w:ascii="黑体" w:eastAsia="黑体"/>
          <w:b w:val="0"/>
          <w:bCs/>
          <w:sz w:val="32"/>
          <w:szCs w:val="32"/>
        </w:rPr>
      </w:pPr>
      <w:r>
        <w:rPr>
          <w:rFonts w:ascii="黑体" w:eastAsia="黑体"/>
          <w:b w:val="0"/>
          <w:bCs/>
          <w:sz w:val="32"/>
          <w:szCs w:val="32"/>
        </w:rPr>
        <w:t>（三）一般公共预算财政拨款支出决算具体情况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1、一般公共服务支出（类）审计事务（款）审计管理（项）：支出决算数为18.59万元，比上年决算减少38.76万元，下降67.59%，主要原因是：2023年结转资金交回财政，2024年未有此项支出。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2、一般公共服务支出（类）审计事务（款）事业运行（项）：支出决算数为190.14万元，比上年决算增加17.67万元，增长10.25%，主要原因是：人员职级晋升增资。</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3、社会保障和就业支出（类）行政事业单位养老支出（款）事业单位离退休（项）：支出决算数为30.58万元，比上年决算增加3.68万元，增长13.68%，主要原因是：退休人员年终绩效奖增加。</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4、社会保障和就业支出（类）行政事业单位养老支出（款）机关事业单位基本养老保险缴费支出（项）：支出决算数为24.57万元，比上年决算增加2.02万元，增长8.96%，主要原因是：在职人员养老缴费基数提升。</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5、社会保障和就业支出（类）行政事业单位养老支出（款）机关事业单位职业年金缴费支出（项）：支出决算数为19.96万元，比上年决算增加19.96万元，增长100.00%，主要原因是：本年度追加2名退休人员职业年金，上年度无此项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6、卫生健康支出（类）行政事业单位医疗（款）事业单位医疗（项）：支出决算数为11.93万元，比上年决算增加1.36万元，增长12.87%，主要原因是：在职人员医疗保险缴费基数提升。</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7、卫生健康支出（类）行政事业单位医疗（款）公务员医疗补助（项）：支出决算数为11.13万元，比上年决算增加1.27万元，增长12.88%，主要原因是：在职人员医疗补助缴费基数提升。</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8、住房保障支出（类）住房改革支出（款）住房公积金（项）：支出决算数为18.56万元，比上年决算增加1.65万元，增长9.76%，主要原因是：在职人员住房公积金缴费基数提升。</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一般公共预算财政拨款基本支出306.87万元，其中：人员经费285.92万元，包括：基本工资、津贴补贴、奖金、绩效工资、机关事业单位基本养老保险缴费、职业年金缴费、职工基本医疗保险缴费、公务员医疗补助缴费、其他社会保障缴费、住房公积金、退休费和其他对个人和家庭的补助。</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公用经费20.95万元，包括：办公费、电费、邮电费、取暖费、工会经费、福利费和其他商品和服务支出。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七、政府性基金预算财政拨款收入支出决算情况说明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本单位本年度无政府性基金预算财政拨款收入、支出及结转和结余，政府性基金预算财政拨款收入支出决算表为空表。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八、国有资本经营预算财政拨款收入支出决算情况说明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本单位本年度无国有资本经营预算财政拨款收入、支出及结转和结余，国有资本经营预算财政拨款收入支出决算表为空表。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九、财政拨款“三公”经费支出决算情况说明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财政拨款“三公”经费支出0.00万元，与上年相比无变化，主要原因是：我单位本年度和上年度均未安排“三公”经费支出。其中：因公出国（境）费支出0.00万元,占0.00%，与上年相比无变化，主要原因是：我单位本年度和上年度均未安排因公出国（境）费支出；公务用车购置及运行维护费支出0.00万元，占0.00%，与上年相比无变化，主要原因是：我单位本年度和上年度均未安排公务用车购置及运行维护费支出；公务接待费支出0.00万元，占0.00%，与上年相比无变化，主要原因是：我单位本年度和上年度均未安排公务接待费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rPr>
          <w:rFonts w:ascii="仿宋_GB2312" w:eastAsia="仿宋_GB2312"/>
          <w:sz w:val="32"/>
          <w:szCs w:val="32"/>
        </w:rPr>
      </w:pPr>
      <w:r>
        <w:rPr>
          <w:rFonts w:ascii="仿宋_GB2312" w:eastAsia="仿宋_GB2312"/>
          <w:b w:val="0"/>
          <w:sz w:val="32"/>
          <w:szCs w:val="32"/>
        </w:rPr>
        <w:t>具体情况如下：</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因公出国（境）费支出0.00万元，开支内容包括我单位未安排因公出国（境）费。单位全年安排的因公出国（境）团组0个，因公出国（境）0人次。</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公务用车购置及运行维护费0.00万元，其中：公务用车购置费0.00万元，公务用车运行维护费0.00万元。公务用车运行维护费开支内容包括我单位未安排公务用车运行维护费。公务用车购置数0辆，公务用车保有量0辆。国有资产占用情况中固定资产车辆2辆，与公务用车保有量差异原因是：审计厅下属二级单位宣教中心与审计厅在同一办公场所工作，车辆由审计厅实行统一管理。</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公务接待费0.00万元，开支内容包括我单位未安排公务接待费。单位全年安排的国内公务接待0批次，0人次。</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与全年预算相比，财政拨款“三公”经费支出全年预算数0.00万元，决算数0.00万元，预决算差异率0.00%，主要原因是：我单位本年度未安排“三公”经费支出。其中：因公出国（境）费全年预算数0.00万元，决算数0.00万元，预决算差异率0.00%，主要原因是：我单位本年度未安排因公出国（境）费支出；公务用车购置费全年预算数0.00万元，决算数0.00万元，预决算差异率0.00%，主要原因是：我单位本年度未安排公务用车购置费支出；公务用车运行维护费全年预算数0.00万元，决算数0.00万元，预决算差异率0.00%，主要原因是：我单位本年度未安排公务用车运行维护费支出；公务接待费全年预算数0.00万元，决算数0.00万元，预决算差异率0.00%，主要原因是：我单位本年度未安排公务接待费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十、其他重要事项的情况说明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2"/>
        <w:rPr>
          <w:rFonts w:ascii="黑体" w:eastAsia="黑体"/>
          <w:b w:val="0"/>
          <w:bCs/>
          <w:sz w:val="32"/>
          <w:szCs w:val="32"/>
        </w:rPr>
      </w:pPr>
      <w:r>
        <w:rPr>
          <w:rFonts w:ascii="黑体" w:eastAsia="黑体"/>
          <w:b w:val="0"/>
          <w:bCs/>
          <w:sz w:val="32"/>
          <w:szCs w:val="32"/>
        </w:rPr>
        <w:t>（一）机关运行经费及公用经费支出情况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2024年度新疆维吾尔自治区审计干部宣传教育中心单位​（事业单位）公用经费支出20.95万元，比上年增加0.90万元，增长4.49%，主要原因是：为提升审计干部专业素质，本年度书报杂志费用比上年度略有增加。</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2"/>
        <w:rPr>
          <w:rFonts w:ascii="黑体" w:eastAsia="黑体"/>
          <w:b w:val="0"/>
          <w:bCs/>
          <w:sz w:val="32"/>
          <w:szCs w:val="32"/>
        </w:rPr>
      </w:pPr>
      <w:r>
        <w:rPr>
          <w:rFonts w:ascii="黑体" w:eastAsia="黑体"/>
          <w:b w:val="0"/>
          <w:bCs/>
          <w:sz w:val="32"/>
          <w:szCs w:val="32"/>
        </w:rPr>
        <w:t>（二）政府采购情况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2024年度政府采购支出总额0.00万元，其中：政府采购货物支出0.00万元、政府采购工程支出0.00万元、政府采购服务支出0.00万元。</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授予中小企业合同金额0.00万元，占政府采购支出总额的0.00%，其中：授予小微企业合同金额0.00万元，占政府采购支出总额的0.00%。</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2"/>
        <w:rPr>
          <w:rFonts w:ascii="黑体" w:eastAsia="黑体"/>
          <w:sz w:val="32"/>
          <w:szCs w:val="32"/>
        </w:rPr>
      </w:pPr>
      <w:r>
        <w:rPr>
          <w:rFonts w:ascii="黑体" w:eastAsia="黑体"/>
          <w:b w:val="0"/>
          <w:bCs/>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截至2024年12月31日，房屋0.00平方米，价值0.00万元。车辆2辆，价值58.16万元，其中：副部（省）级及以上领导用车0辆、主要负责人用车0辆、机要通信用车0辆、应急保障用车0辆、执法执勤用车0辆、特种专业技术用车0辆、离退休干部服务用车0辆、其他用车2辆，其他用车主要是：培训保障车辆;单价100万元（含）以上设备（不含车辆）0台（套）。</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十一、预算绩效的情况说明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根据预算绩效管理要求，本单位2024年度预算绩效评价项目1个，全年预算数20.00万元，全年执行数18.59万元。预算绩效管理取得的成效：一是根据预算绩效指标，按计划、按时间、按期次举办各类业务培训班，确保审计厅年度培训教育计划的落实。二是根据预算绩效指标分解培训任务，做到每期培训班主办单位和协办单位相互协作，良好沟通；优化培训载体，通过线上开展培训，实现培训资源共享，提高培训覆盖面,提高了培训实效和审计干部能力素质。发现的问题及原因：因工作安排，有部分培训未能按时完成，推后或延期举办，影响阶段性的绩效目标完成。下一步改进措施：提前谋划组织培训，克服实际困难，保质保量完成培训项目，落实绩效管理目标。具体附项目支出绩效自评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十二、其他需说明的事项</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本单位无其他需说明事项。</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pPr>
      <w:r>
        <w:rPr>
          <w:b w:val="0"/>
          <w:sz w:val="0"/>
          <w:szCs w:val="0"/>
        </w:rPr>
        <w:br w:type="page"/>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0"/>
        <w:rPr>
          <w:rFonts w:ascii="黑体" w:eastAsia="黑体"/>
          <w:sz w:val="32"/>
          <w:szCs w:val="32"/>
        </w:rPr>
      </w:pPr>
      <w:r>
        <w:rPr>
          <w:rFonts w:ascii="黑体" w:eastAsia="黑体"/>
          <w:b w:val="0"/>
          <w:sz w:val="32"/>
          <w:szCs w:val="32"/>
        </w:rPr>
        <w:t>第三部分 专业名词解释</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一、财政拨款收入：</w:t>
      </w:r>
      <w:r>
        <w:rPr>
          <w:rFonts w:ascii="仿宋_GB2312" w:eastAsia="仿宋_GB2312"/>
          <w:b w:val="0"/>
          <w:sz w:val="32"/>
          <w:szCs w:val="32"/>
        </w:rPr>
        <w:t>指同级财政当年拨付的资金。</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二、上级补助收入：</w:t>
      </w:r>
      <w:r>
        <w:rPr>
          <w:rFonts w:ascii="仿宋_GB2312" w:eastAsia="仿宋_GB2312"/>
          <w:b w:val="0"/>
          <w:sz w:val="32"/>
          <w:szCs w:val="32"/>
        </w:rPr>
        <w:t>指事业单位从主管部门和上级单位取得的非财政补助收入。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三、事业收入：</w:t>
      </w:r>
      <w:r>
        <w:rPr>
          <w:rFonts w:ascii="仿宋_GB2312" w:eastAsia="仿宋_GB2312"/>
          <w:b w:val="0"/>
          <w:sz w:val="32"/>
          <w:szCs w:val="32"/>
        </w:rPr>
        <w:t>指事业单位开展专业业务活动及其辅助活动所取得的收入。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四、经营收入：</w:t>
      </w:r>
      <w:r>
        <w:rPr>
          <w:rFonts w:ascii="仿宋_GB2312" w:eastAsia="仿宋_GB2312"/>
          <w:b w:val="0"/>
          <w:sz w:val="32"/>
          <w:szCs w:val="32"/>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五、附属单位上缴收入：</w:t>
      </w:r>
      <w:r>
        <w:rPr>
          <w:rFonts w:ascii="仿宋_GB2312" w:eastAsia="仿宋_GB2312"/>
          <w:b w:val="0"/>
          <w:sz w:val="32"/>
          <w:szCs w:val="32"/>
        </w:rPr>
        <w:t>指事业单位附属的独立核算单位按有关规定上缴的收入。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六、其他收入：</w:t>
      </w:r>
      <w:r>
        <w:rPr>
          <w:rFonts w:ascii="仿宋_GB2312" w:eastAsia="仿宋_GB2312"/>
          <w:b w:val="0"/>
          <w:sz w:val="32"/>
          <w:szCs w:val="32"/>
        </w:rPr>
        <w:t>指除上述“财政拨款收入”、“事业收入”、“经营收入”、“附属单位上缴收入”等之外取得的收入。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七、年初结转和结余：</w:t>
      </w:r>
      <w:r>
        <w:rPr>
          <w:rFonts w:ascii="仿宋_GB2312" w:eastAsia="仿宋_GB2312"/>
          <w:b w:val="0"/>
          <w:sz w:val="32"/>
          <w:szCs w:val="32"/>
        </w:rPr>
        <w:t>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八、年末结转和结余：</w:t>
      </w:r>
      <w:r>
        <w:rPr>
          <w:rFonts w:ascii="仿宋_GB2312" w:eastAsia="仿宋_GB2312"/>
          <w:b w:val="0"/>
          <w:sz w:val="32"/>
          <w:szCs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九、基本支出：</w:t>
      </w:r>
      <w:r>
        <w:rPr>
          <w:rFonts w:ascii="仿宋_GB2312" w:eastAsia="仿宋_GB2312"/>
          <w:b w:val="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十、项目支出：</w:t>
      </w:r>
      <w:r>
        <w:rPr>
          <w:rFonts w:ascii="仿宋_GB2312" w:eastAsia="仿宋_GB2312"/>
          <w:b w:val="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十一、经营支出：</w:t>
      </w:r>
      <w:r>
        <w:rPr>
          <w:rFonts w:ascii="仿宋_GB2312" w:eastAsia="仿宋_GB2312"/>
          <w:b w:val="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十二、对附属单位补助支出：</w:t>
      </w:r>
      <w:r>
        <w:rPr>
          <w:rFonts w:ascii="仿宋_GB2312" w:eastAsia="仿宋_GB2312"/>
          <w:b w:val="0"/>
          <w:sz w:val="32"/>
          <w:szCs w:val="32"/>
        </w:rPr>
        <w:t>指事业单位发生的用非财政预算资金对附属单位的补助支出。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十三、“三公”经费：</w:t>
      </w:r>
      <w:r>
        <w:rPr>
          <w:rFonts w:ascii="仿宋_GB2312" w:eastAsia="仿宋_GB2312"/>
          <w:b w:val="0"/>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十四、机关运行经费：</w:t>
      </w:r>
      <w:r>
        <w:rPr>
          <w:rFonts w:ascii="仿宋_GB2312" w:eastAsia="仿宋_GB2312"/>
          <w:b w:val="0"/>
          <w:sz w:val="32"/>
          <w:szCs w:val="32"/>
        </w:rPr>
        <w:t>行政单位和参照公务员法管理的事业单位财政拨款基本支出中的公用经费支出。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pPr>
      <w:r>
        <w:rPr>
          <w:b w:val="0"/>
          <w:sz w:val="0"/>
          <w:szCs w:val="0"/>
        </w:rPr>
        <w:br w:type="page"/>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0"/>
        <w:rPr>
          <w:rFonts w:ascii="黑体" w:eastAsia="黑体"/>
          <w:sz w:val="32"/>
          <w:szCs w:val="32"/>
        </w:rPr>
      </w:pPr>
      <w:r>
        <w:rPr>
          <w:rFonts w:ascii="黑体" w:eastAsia="黑体"/>
          <w:b w:val="0"/>
          <w:sz w:val="32"/>
          <w:szCs w:val="32"/>
        </w:rPr>
        <w:t>第四部分 部门决算报表（见附表）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一、《收入支出决算总表》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二、《收入决算表》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三、《支出决算表》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四、《财政拨款收入支出决算总表》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五、《一般公共预算财政拨款支出决算表》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六、《一般公共预算财政拨款基本支出决算表》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七、《政府性基金预算财政拨款收入支出决算表》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八、《国有资本经营预算财政拨款收入支出决算表》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九、《财政拨款“三公”经费支出决算表》</w:t>
      </w:r>
    </w:p>
    <w:sectPr>
      <w:pgSz w:w="12240" w:h="15840"/>
      <w:pgMar w:top="1440" w:right="1800" w:bottom="1440" w:left="18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splitPgBreakAndParaMark/>
    <w:compatSetting w:name="compatibilityMode" w:uri="http://schemas.microsoft.com/office/word" w:val="12"/>
  </w:compat>
  <w:rsids>
    <w:rsidRoot w:val="00000000"/>
    <w:rsid w:val="04AA33D6"/>
    <w:rsid w:val="20FC4340"/>
    <w:rsid w:val="27ED3B9E"/>
    <w:rsid w:val="35685CA1"/>
    <w:rsid w:val="36C15F6E"/>
    <w:rsid w:val="57525C53"/>
    <w:rsid w:val="6FC071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Office_10.8.0.6501_F1E327BC-269C-435d-A152-05C5408002CA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2025-08-28T09:51:00Z</dcterms:created>
  <dc:creator>Administrator</dc:creator>
  <cp:lastModifiedBy>Administrator</cp:lastModifiedBy>
  <dcterms:modified xsi:type="dcterms:W3CDTF">2025-08-28T10:38:58Z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