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32"/>
          <w:szCs w:val="32"/>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宋体" w:eastAsia="黑体"/>
          <w:sz w:val="44"/>
          <w:szCs w:val="44"/>
        </w:rPr>
      </w:pPr>
      <w:r>
        <w:rPr>
          <w:rFonts w:ascii="宋体" w:eastAsia="黑体"/>
          <w:b w:val="0"/>
          <w:sz w:val="44"/>
          <w:szCs w:val="44"/>
        </w:rPr>
        <w:t>新疆维吾尔自治区审计干部宣传教育中心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44"/>
          <w:szCs w:val="44"/>
        </w:rPr>
      </w:pPr>
      <w:r>
        <w:rPr>
          <w:rFonts w:ascii="黑体" w:eastAsia="黑体"/>
          <w:b w:val="0"/>
          <w:sz w:val="44"/>
          <w:szCs w:val="44"/>
        </w:rPr>
        <w:t>2024年度部门决算公开说明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ascii="黑体" w:eastAsia="黑体"/>
          <w:sz w:val="32"/>
          <w:szCs w:val="32"/>
        </w:rPr>
      </w:pPr>
      <w:r>
        <w:rPr>
          <w:rFonts w:ascii="黑体" w:eastAsia="黑体"/>
          <w:b/>
          <w:sz w:val="32"/>
          <w:szCs w:val="32"/>
        </w:rPr>
        <w:t>目  录</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sz w:val="32"/>
          <w:szCs w:val="32"/>
        </w:rPr>
        <w:t>第一部分单位概况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一、主要职能</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（二）一般公共预算财政拨款支出决算结构情况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（三）一般公共预算财政拨款支出决算具体情况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七、政府性基金预算财政拨款收入支出决算情况说明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八、国有资本经营预算财政拨款收入支出决算情况说明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（一）机关运行经费及公用经费支出情况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（二）政府采购情况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十一、预算绩效的情况说明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十二、其他需说明的事项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sz w:val="32"/>
          <w:szCs w:val="32"/>
        </w:rPr>
        <w:t>第三部分 专业名词解释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sz w:val="32"/>
          <w:szCs w:val="32"/>
        </w:rPr>
        <w:t>第四部分 部门决算报表（见附表）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二、《收入决算表》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三、《支出决算表》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八、《国有资本经营预算财政拨款收入支出决算表》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ascii="仿宋_GB2312" w:eastAsia="仿宋_GB2312"/>
          <w:sz w:val="32"/>
          <w:szCs w:val="32"/>
        </w:rPr>
      </w:pPr>
      <w:r>
        <w:rPr>
          <w:rFonts w:ascii="仿宋_GB2312" w:eastAsia="仿宋_GB2312"/>
          <w:b w:val="0"/>
          <w:sz w:val="32"/>
          <w:szCs w:val="32"/>
        </w:rPr>
        <w:t>九、《财政拨款“三公”经费支出决算表》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第一部分 单位概况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 一、主要职能</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提高审计工作质量，促进审计工作发展。负责全区审计机关干部教育培训工作；负责审计干部职业教育工作；协助厅机关做好审计宣传等工作。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仿宋_GB2312" w:eastAsia="仿宋_GB2312"/>
          <w:sz w:val="32"/>
          <w:szCs w:val="32"/>
        </w:rPr>
      </w:pPr>
      <w:r>
        <w:rPr>
          <w:rFonts w:ascii="仿宋_GB2312" w:eastAsia="仿宋_GB2312"/>
          <w:b w:val="0"/>
          <w:sz w:val="32"/>
          <w:szCs w:val="32"/>
        </w:rPr>
        <w:t>新疆维吾尔自治区审计干部宣传教育中心2024年度，实有人数28人，其中：在职人员11人，减少2人；离休人员0人，较上年无变化；退休人员17人，增加2人。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新疆维吾尔自治区审计干部宣传教育中心无下属预算单位，</w:t>
      </w:r>
      <w:r>
        <w:rPr>
          <w:rFonts w:hint="eastAsia" w:ascii="仿宋_GB2312" w:hAnsi="黑体" w:eastAsia="仿宋_GB2312" w:cs="宋体"/>
          <w:bCs/>
          <w:kern w:val="0"/>
          <w:sz w:val="32"/>
          <w:szCs w:val="32"/>
          <w:highlight w:val="none"/>
          <w:lang w:eastAsia="zh-CN"/>
        </w:rPr>
        <w:t>无</w:t>
      </w:r>
      <w:r>
        <w:rPr>
          <w:rFonts w:hint="eastAsia" w:ascii="仿宋_GB2312" w:hAnsi="黑体" w:eastAsia="仿宋_GB2312" w:cs="宋体"/>
          <w:bCs/>
          <w:kern w:val="0"/>
          <w:sz w:val="32"/>
          <w:szCs w:val="32"/>
          <w:highlight w:val="none"/>
        </w:rPr>
        <w:t>下设处室</w:t>
      </w:r>
      <w:r>
        <w:rPr>
          <w:rFonts w:hint="eastAsia" w:ascii="仿宋_GB2312" w:hAnsi="宋体" w:eastAsia="仿宋_GB2312" w:cs="宋体"/>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2024年度收入总计338.74万元，其中：本年收入合计325.50万元，使用非财政拨款结余（含专用结余）0.00万元，年初结转和结余13.24万元。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2024年度支出总计338.74万元，其中：本年支出合计325.49万元，结余分配0.00万元，年末结转和结余13.25万元。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收入支出总体与上年相比，增加8.88万元，增长2.69%，主要原因是：人员工资调整和人员费用增加。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本年收入325.50万元，其中：财政拨款收入325.46万元,占99.99%；上级补助收入0.00万元,占0.00%；事业收入0.00万元，占0.00%；经营收入0.00万元,占0.00%；附属单位上缴收入0.00万元，占0.00%；其他收入0.04万元，占0.01%。</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本年支出325.49万元，其中：基本支出306.90万元，占94.29%；项目支出18.59万元，占5.71%；上缴上级支出0.00万元，占0.00%；经营支出0.00万元，占0.00%；对附属单位补助支出0.00万元，占0.00%。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2024年度财政拨款收入总计338.29万元，其中：年初财政拨款结转和结余12.83万元，本年财政拨款收入325.46万元。财政拨款支出总计338.29万元，其中：年末财政拨款结转和结余12.83万元，本年财政拨款支出325.46万元。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财政拨款收入支出总体与上年相比，增加8.84万元，增长2.68%，主要原因是：人员工资调整和人员费用增加。与年初预算相比，年初预算数313.85万元，决算数338.29万元，预决算差异率7.79%，主要原因是：年中追加职业年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支出325.46万元，占本年支出合计的99.99%。与上年相比，增加8.84万元，增长2.79%，主要原因是：人员工资调整和人员费用增加。与年初预算相比，年初预算数313.85万元，决算数325.46万元，预决算差异率3.70%，主要原因是：年中追加职业年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（二）一般公共预算财政拨款支出决算结构情况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一般公共服务支出（类）208.73万元，占64.13%。</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社会保障和就业支出（类）75.11万元，占23.08%。</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卫生健康支出（类）23.06万元，占7.09%。</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住房保障支出（类）18.56万元，占5.70%。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（三）一般公共预算财政拨款支出决算具体情况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1、一般公共服务支出（类）审计事务（款）审计管理（项）：支出决算数为18.59万元，比上年决算减少38.76万元，下降67.59%，主要原因是：2023年结转资金交回财政，2024年未有此项支出。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2、一般公共服务支出（类）审计事务（款）事业运行（项）：支出决算数为190.14万元，比上年决算增加17.67万元，增长10.25%，主要原因是：人员职级晋升增资。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3、社会保障和就业支出（类）行政事业单位养老支出（款）事业单位离退休（项）：支出决算数为30.58万元，比上年决算增加3.68万元，增长13.68%，主要原因是：退休人员年终绩效奖增加。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4、社会保障和就业支出（类）行政事业单位养老支出（款）机关事业单位基本养老保险缴费支出（项）：支出决算数为24.57万元，比上年决算增加2.02万元，增长8.96%，主要原因是：在职人员养老缴费基数提升。</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5、社会保障和就业支出（类）行政事业单位养老支出（款）机关事业单位职业年金缴费支出（项）：支出决算数为19.96万元，比上年决算增加19.96万元，增长100.00%，主要原因是：本年度追加2名退休人员职业年金，上年度无此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6、卫生健康支出（类）行政事业单位医疗（款）事业单位医疗（项）：支出决算数为11.93万元，比上年决算增加1.36万元，增长12.87%，主要原因是：在职人员医疗保险缴费基数提升。</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7、卫生健康支出（类）行政事业单位医疗（款）公务员医疗补助（项）：支出决算数为11.13万元，比上年决算增加1.27万元，增长12.88%，主要原因是：在职人员医疗补助缴费基数提升。</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仿宋_GB2312" w:eastAsia="仿宋_GB2312"/>
          <w:sz w:val="32"/>
          <w:szCs w:val="32"/>
        </w:rPr>
      </w:pPr>
      <w:r>
        <w:rPr>
          <w:rFonts w:ascii="仿宋_GB2312" w:eastAsia="仿宋_GB2312"/>
          <w:b w:val="0"/>
          <w:sz w:val="32"/>
          <w:szCs w:val="32"/>
        </w:rPr>
        <w:t>8、住房保障支出（类）住房改革支出（款）住房公积金（项）：支出决算数为18.56万元，比上年决算增加1.65万元，增长9.76%，主要原因是：在职人员住房公积金缴费基数提升。</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基本支出306.87万元，其中：人员经费285.92万元，包括：基本工资、津贴补贴、奖金、绩效工资、机关事业单位基本养老保险缴费、职业年金缴费、职工基本医疗保险缴费、公务员医疗补助缴费、其他社会保障缴费、住房公积金、退休费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公用经费20.95万元，包括：办公费、电费、邮电费、取暖费、工会经费、福利费和其他商品和服务支出。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七、政府性基金预算财政拨款收入支出决算情况说明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本单位本年度无政府性基金预算财政拨款收入、支出及结转和结余，政府性基金预算财政拨款收入支出决算表为空表。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八、国有资本经营预算财政拨款收入支出决算情况说明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本单位本年度无国有资本经营预算财政拨款收入、支出及结转和结余，国有资本经营预算财政拨款收入支出决算表为空表。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三公”经费支出0.00万元，与上年相比无变化，主要原因是：我单位本年度和上年度均未安排“三公”经费支出。其中：因公出国（境）费支出0.00万元,占0.00%，与上年相比无变化，主要原因是：我单位本年度和上年度均未安排因公出国（境）费支出；公务用车购置及运行维护费支出0.00万元，占0.00%，与上年相比无变化，主要原因是：我单位本年度和上年度均未安排公务用车购置及运行维护费支出；公务接待费支出0.00万元，占0.00%，与上年相比无变化，主要原因是：我单位本年度和上年度均未安排公务接待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ascii="仿宋_GB2312" w:eastAsia="仿宋_GB2312"/>
          <w:sz w:val="32"/>
          <w:szCs w:val="32"/>
        </w:rPr>
      </w:pPr>
      <w:r>
        <w:rPr>
          <w:rFonts w:ascii="仿宋_GB2312" w:eastAsia="仿宋_GB2312"/>
          <w:b w:val="0"/>
          <w:sz w:val="32"/>
          <w:szCs w:val="32"/>
        </w:rPr>
        <w:t>具体情况如下：</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因公出国（境）费支出0.00万元，开支内容包括我单位未安排因公出国（境）费。单位全年安排的因公出国（境）团组0个，因公出国（境）0人次。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务用车购置及运行维护费0.00万元，其中：公务用车购置费0.00万元，公务用车运行维护费0.00万元。公务用车运行维护费开支内容包括我单位未安排公务用车运行维护费。公务用车购置数0辆，公务用车保有量0辆。国有资产占用情况中固定资产车辆2辆，与公务用车保有量差异原因是：审计厅下属二级单位宣教中心与审计厅在同一办公场所工作，车辆由审计厅实行统一管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公务接待费0.00万元，开支内容包括我单位未安排公务接待费。单位全年安排的国内公务接待0批次，0人次。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与全年预算相比，财政拨款“三公”经费支出全年预算数0.00万元，决算数0.00万元，预决算差异率0.00%，主要原因是：我单位本年度未安排“三公”经费支出。其中：因公出国（境）费全年预算数0.00万元，决算数0.00万元，预决算差异率0.00%，主要原因是：我单位本年度未安排因公出国（境）费支出；公务用车购置费全年预算数0.00万元，决算数0.00万元，预决算差异率0.00%，主要原因是：我单位本年度未安排公务用车购置费支出；公务用车运行维护费全年预算数0.00万元，决算数0.00万元，预决算差异率0.00%，主要原因是：我单位本年度未安排公务用车运行维护费支出；公务接待费全年预算数0.00万元，决算数0.00万元，预决算差异率0.00%，主要原因是：我单位本年度未安排公务接待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（一）机关运行经费及公用经费支出情况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2024年度新疆维吾尔自治区审计干部宣传教育中心单位​（事业单位）公用经费支出20.95万元，比上年增加0.90万元，增长4.49%，主要原因是：为提升审计干部专业素质，本年度书报杂志费用比上年度略有增加。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b w:val="0"/>
          <w:bCs/>
          <w:sz w:val="32"/>
          <w:szCs w:val="32"/>
        </w:rPr>
      </w:pPr>
      <w:r>
        <w:rPr>
          <w:rFonts w:ascii="黑体" w:eastAsia="黑体"/>
          <w:b w:val="0"/>
          <w:bCs/>
          <w:sz w:val="32"/>
          <w:szCs w:val="32"/>
        </w:rPr>
        <w:t>（二）政府采购情况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2024年度政府采购支出总额0.00万元，其中：政府采购货物支出0.00万元、政府采购工程支出0.00万元、政府采购服务支出0.00万元。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授予中小企业合同金额0.00万元，占政府采购支出总额的0.00%，其中：授予小微企业合同金额0.00万元，占政府采购支出总额的0.00%。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2"/>
        <w:rPr>
          <w:rFonts w:ascii="黑体" w:eastAsia="黑体"/>
          <w:sz w:val="32"/>
          <w:szCs w:val="32"/>
        </w:rPr>
      </w:pPr>
      <w:r>
        <w:rPr>
          <w:rFonts w:ascii="黑体" w:eastAsia="黑体"/>
          <w:b w:val="0"/>
          <w:bCs/>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截至2024年12月31日，房屋0.00平方米，价值0.00万元。车辆2辆，价值58.16万元，其中：副部（省）级及以上领导用车0辆、主要负责人用车0辆、机要通信用车0辆、应急保障用车0辆、执法执勤用车0辆、特种专业技术用车0辆、离退休干部服务用车0辆、其他用车2辆，其他用车主要是：培训保障车辆;单价100万元（含）以上设备（不含车辆）0台（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十一、预算绩效的情况说明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根据预算绩效管理要求，本单位2024年度预算绩效评价项目1个，全年预算数20.00万元，全年执行数18.59万元。预算绩效管理取得的成效：一是根据预算绩效指标，按计划、按时间、按期次举办各类业务培训班，确保审计厅年度培训教育计划的落实。二是根据预算绩效指标分解培训任务，做到每期培训班主办单位和协办单位相互协作，良好沟通；优化培训载体，通过线上开展培训，实现培训资源共享，提高培训覆盖面,提高了培训实效和审计干部能力素质。发现的问题及原因：因工作安排，有部分培训未能按时完成，推后或延期举办，影响阶段性的绩效目标完成。下一步改进措施：提前谋划组织培训，克服实际困难，保质保量完成培训项目，落实绩效管理目标。具体附项目支出绩效自评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黑体" w:eastAsia="黑体"/>
          <w:sz w:val="32"/>
          <w:szCs w:val="32"/>
        </w:rPr>
      </w:pPr>
      <w:r>
        <w:rPr>
          <w:rFonts w:ascii="黑体" w:eastAsia="黑体"/>
          <w:b w:val="0"/>
          <w:sz w:val="32"/>
          <w:szCs w:val="32"/>
        </w:rPr>
        <w:t>十二、其他需说明的事项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ascii="仿宋_GB2312" w:eastAsia="仿宋_GB2312"/>
          <w:sz w:val="32"/>
          <w:szCs w:val="32"/>
        </w:rPr>
      </w:pPr>
      <w:r>
        <w:rPr>
          <w:rFonts w:ascii="仿宋_GB2312" w:eastAsia="仿宋_GB2312"/>
          <w:b w:val="0"/>
          <w:sz w:val="32"/>
          <w:szCs w:val="32"/>
        </w:rPr>
        <w:t>本单位</w:t>
      </w:r>
      <w:r>
        <w:rPr>
          <w:rFonts w:hint="eastAsia" w:ascii="仿宋_GB2312" w:eastAsia="仿宋_GB2312"/>
          <w:b w:val="0"/>
          <w:sz w:val="32"/>
          <w:szCs w:val="32"/>
          <w:lang w:val="en-US" w:eastAsia="zh-CN"/>
        </w:rPr>
        <w:t>2024年度</w:t>
      </w:r>
      <w:r>
        <w:rPr>
          <w:rFonts w:hint="eastAsia" w:ascii="仿宋_GB2312" w:eastAsia="仿宋_GB2312"/>
          <w:b w:val="0"/>
          <w:sz w:val="32"/>
          <w:szCs w:val="32"/>
          <w:lang w:eastAsia="zh-CN"/>
        </w:rPr>
        <w:t>无政府采购事项</w:t>
      </w:r>
      <w:r>
        <w:rPr>
          <w:rFonts w:ascii="仿宋_GB2312" w:eastAsia="仿宋_GB2312"/>
          <w:b w:val="0"/>
          <w:sz w:val="32"/>
          <w:szCs w:val="32"/>
        </w:rPr>
        <w:t>。</w:t>
      </w:r>
      <w:bookmarkStart w:id="0" w:name="_GoBack"/>
      <w:bookmarkEnd w:id="0"/>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第三部分 专业名词解释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left"/>
        <w:textAlignment w:val="auto"/>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0"/>
        <w:rPr>
          <w:rFonts w:ascii="黑体" w:eastAsia="黑体"/>
          <w:sz w:val="32"/>
          <w:szCs w:val="32"/>
        </w:rPr>
      </w:pPr>
      <w:r>
        <w:rPr>
          <w:rFonts w:ascii="黑体" w:eastAsia="黑体"/>
          <w:b w:val="0"/>
          <w:sz w:val="32"/>
          <w:szCs w:val="32"/>
        </w:rPr>
        <w:t>第四部分 部门决算报表（见附表）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二、《收入决算表》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三、《支出决算表》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七、《政府性基金预算财政拨款收入支出决算表》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4AA33D6"/>
    <w:rsid w:val="0F8F05BF"/>
    <w:rsid w:val="20FC4340"/>
    <w:rsid w:val="27ED3B9E"/>
    <w:rsid w:val="35685CA1"/>
    <w:rsid w:val="36C15F6E"/>
    <w:rsid w:val="57525C53"/>
    <w:rsid w:val="6FC07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Office_10.8.0.6501_F1E327BC-269C-435d-A152-05C5408002CA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2025-08-28T09:51:00Z</dcterms:created>
  <dc:creator>Administrator</dc:creator>
  <cp:lastModifiedBy>Administrator</cp:lastModifiedBy>
  <dcterms:modified xsi:type="dcterms:W3CDTF">2025-10-28T03:18:05Z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