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自治区财政项目支出绩效自评报告</w:t>
      </w:r>
    </w:p>
    <w:p>
      <w:pPr>
        <w:spacing w:line="540" w:lineRule="exact"/>
        <w:jc w:val="center"/>
        <w:rPr>
          <w:rFonts w:ascii="华文中宋" w:hAnsi="华文中宋" w:eastAsia="华文中宋" w:cs="宋体"/>
          <w:b/>
          <w:kern w:val="0"/>
          <w:sz w:val="52"/>
          <w:szCs w:val="52"/>
        </w:rPr>
      </w:pPr>
    </w:p>
    <w:p>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7"/>
          <w:rFonts w:hint="eastAsia" w:ascii="楷体" w:hAnsi="楷体" w:eastAsia="楷体"/>
          <w:spacing w:val="-4"/>
          <w:sz w:val="32"/>
          <w:szCs w:val="32"/>
        </w:rPr>
        <w:t>2025</w:t>
      </w:r>
      <w:r>
        <w:rPr>
          <w:rFonts w:hint="eastAsia" w:hAnsi="宋体" w:eastAsia="仿宋_GB2312" w:cs="宋体"/>
          <w:kern w:val="0"/>
          <w:sz w:val="36"/>
          <w:szCs w:val="36"/>
        </w:rPr>
        <w:t xml:space="preserve">  年度）</w:t>
      </w: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bookmarkStart w:id="0" w:name="_GoBack"/>
      <w:bookmarkEnd w:id="0"/>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rPr>
          <w:rFonts w:hAnsi="宋体" w:eastAsia="仿宋_GB2312" w:cs="宋体"/>
          <w:kern w:val="0"/>
          <w:sz w:val="30"/>
          <w:szCs w:val="30"/>
        </w:rPr>
      </w:pPr>
    </w:p>
    <w:p>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7"/>
          <w:rFonts w:hint="eastAsia" w:ascii="楷体" w:hAnsi="楷体" w:eastAsia="楷体"/>
          <w:spacing w:val="-4"/>
          <w:sz w:val="32"/>
          <w:szCs w:val="32"/>
        </w:rPr>
        <w:t>审计业务费</w:t>
      </w:r>
    </w:p>
    <w:p>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7"/>
          <w:rFonts w:hint="eastAsia" w:ascii="楷体" w:hAnsi="楷体" w:eastAsia="楷体"/>
          <w:spacing w:val="-4"/>
          <w:sz w:val="28"/>
          <w:szCs w:val="28"/>
        </w:rPr>
        <w:t>新疆维吾尔自治区审计厅</w:t>
      </w:r>
    </w:p>
    <w:p>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7"/>
          <w:rFonts w:hint="eastAsia" w:ascii="楷体" w:hAnsi="楷体" w:eastAsia="楷体"/>
          <w:spacing w:val="-4"/>
          <w:sz w:val="28"/>
          <w:szCs w:val="28"/>
        </w:rPr>
        <w:t>新疆维吾尔自治区审计厅</w:t>
      </w:r>
    </w:p>
    <w:p>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7"/>
          <w:rFonts w:hint="eastAsia" w:ascii="楷体" w:hAnsi="楷体" w:eastAsia="楷体"/>
          <w:spacing w:val="-4"/>
          <w:sz w:val="32"/>
          <w:szCs w:val="32"/>
        </w:rPr>
        <w:t>代琦</w:t>
      </w:r>
    </w:p>
    <w:p>
      <w:pPr>
        <w:spacing w:line="540" w:lineRule="exact"/>
        <w:ind w:left="273" w:firstLine="567"/>
        <w:rPr>
          <w:rStyle w:val="17"/>
          <w:rFonts w:ascii="楷体" w:hAnsi="楷体" w:eastAsia="楷体"/>
          <w:spacing w:val="-4"/>
          <w:sz w:val="32"/>
          <w:szCs w:val="32"/>
        </w:rPr>
      </w:pPr>
      <w:r>
        <w:rPr>
          <w:rFonts w:hint="eastAsia" w:hAnsi="宋体" w:eastAsia="仿宋_GB2312" w:cs="宋体"/>
          <w:kern w:val="0"/>
          <w:sz w:val="36"/>
          <w:szCs w:val="36"/>
        </w:rPr>
        <w:t>填报时间：</w:t>
      </w:r>
      <w:r>
        <w:rPr>
          <w:rStyle w:val="17"/>
          <w:rFonts w:hint="eastAsia" w:ascii="楷体" w:hAnsi="楷体" w:eastAsia="楷体"/>
          <w:spacing w:val="-4"/>
          <w:sz w:val="32"/>
          <w:szCs w:val="32"/>
        </w:rPr>
        <w:t>2026年03月23日</w:t>
      </w:r>
    </w:p>
    <w:p>
      <w:pPr>
        <w:spacing w:line="700" w:lineRule="exact"/>
        <w:ind w:firstLine="708" w:firstLineChars="236"/>
        <w:jc w:val="left"/>
        <w:rPr>
          <w:rFonts w:hAnsi="宋体" w:eastAsia="仿宋_GB2312" w:cs="宋体"/>
          <w:kern w:val="0"/>
          <w:sz w:val="30"/>
          <w:szCs w:val="30"/>
        </w:rPr>
      </w:pPr>
    </w:p>
    <w:p>
      <w:pPr>
        <w:spacing w:line="540" w:lineRule="exact"/>
        <w:rPr>
          <w:rStyle w:val="17"/>
          <w:rFonts w:ascii="黑体" w:hAnsi="黑体" w:eastAsia="黑体"/>
          <w:b w:val="0"/>
          <w:spacing w:val="-4"/>
          <w:sz w:val="32"/>
          <w:szCs w:val="32"/>
        </w:rPr>
      </w:pPr>
    </w:p>
    <w:p>
      <w:pPr>
        <w:spacing w:line="540" w:lineRule="exact"/>
        <w:ind w:firstLine="640"/>
        <w:rPr>
          <w:rStyle w:val="17"/>
          <w:rFonts w:ascii="黑体" w:hAnsi="黑体" w:eastAsia="黑体"/>
          <w:b w:val="0"/>
          <w:spacing w:val="-4"/>
          <w:sz w:val="32"/>
          <w:szCs w:val="32"/>
        </w:rPr>
      </w:pPr>
      <w:r>
        <w:rPr>
          <w:rStyle w:val="17"/>
          <w:rFonts w:hint="eastAsia" w:ascii="黑体" w:hAnsi="黑体" w:eastAsia="黑体"/>
          <w:b w:val="0"/>
          <w:spacing w:val="-4"/>
          <w:sz w:val="32"/>
          <w:szCs w:val="32"/>
        </w:rPr>
        <w:t>一、基本情况</w:t>
      </w:r>
    </w:p>
    <w:p>
      <w:pPr>
        <w:spacing w:line="540" w:lineRule="exact"/>
        <w:ind w:firstLine="567"/>
        <w:rPr>
          <w:rStyle w:val="17"/>
          <w:rFonts w:ascii="楷体" w:hAnsi="楷体" w:eastAsia="楷体"/>
          <w:spacing w:val="-4"/>
          <w:sz w:val="32"/>
          <w:szCs w:val="32"/>
        </w:rPr>
      </w:pPr>
      <w:r>
        <w:rPr>
          <w:rStyle w:val="17"/>
          <w:rFonts w:hint="eastAsia" w:ascii="楷体" w:hAnsi="楷体" w:eastAsia="楷体"/>
          <w:spacing w:val="-4"/>
          <w:sz w:val="32"/>
          <w:szCs w:val="32"/>
        </w:rPr>
        <w:t>（一）项目概况。包括项目背景、主要内容及实施情况、资金投入和使用情况等。</w:t>
      </w:r>
    </w:p>
    <w:p>
      <w:pPr>
        <w:spacing w:line="540" w:lineRule="exact"/>
        <w:ind w:firstLine="567"/>
        <w:rPr>
          <w:rStyle w:val="17"/>
          <w:rFonts w:ascii="楷体" w:hAnsi="楷体" w:eastAsia="楷体"/>
          <w:spacing w:val="-4"/>
          <w:sz w:val="32"/>
          <w:szCs w:val="32"/>
        </w:rPr>
      </w:pPr>
      <w:r>
        <w:rPr>
          <w:rStyle w:val="17"/>
          <w:rFonts w:hint="eastAsia" w:ascii="楷体" w:hAnsi="楷体" w:eastAsia="楷体"/>
          <w:spacing w:val="-4"/>
          <w:sz w:val="32"/>
          <w:szCs w:val="32"/>
        </w:rPr>
        <w:t xml:space="preserve">1.立项依据及项目背景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 xml:space="preserve">    根据《中华人民共和国审计法》《国务院关于加强审计工作意见》《中共中央办公厅 国务院办公厅关于印发&lt;党政主要领导干部和国有企业领导人员经济责任审计规定&gt;的通知》《关于切实保证地方审计机关经费问题的意见》《审计署关于印发进一步推进审计信息化建设指导意见的通知》《新疆维吾尔自治区审计厅审计组廉政责任规定》《自治区党政机关事业单位工作人员差旅费管理办法》，自治区“访惠聚”驻村工作领导小组办公室印发的《关于认真贯彻自治区党委部署要要求持续用力推进“访惠聚”驻村工作的通知》和《自治区审计厅外勤经费管理办法》《自治区审计厅审计项目工作量核定办法》等法规、制度、意见精神，为保证圆满完成自治区人民政府批准的年度审计项目计划，更好地为党委和政府宏观决策提供依据。审计厅坚持以习近平总书记关于审计工作的重要论述为纲和魂，秉承审计监督服务保障自治区工作大局的理念，严把审计政治方向，聚焦审计重点任务，创新审计理念模式，强化审计职能作用，全力推动新时代审计事业高质量发展，以权威高效的审计监督规范权力运行、保障政令畅通，促进正风肃纪反腐，推动经济社会高质量发展。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2.主要内容</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年初对项目进行分解，由各业务部门作为项目实施主体，涉及主要业务有政府投资审计项目委托业务、本级预算执行审计、重大政策跟踪审计、社保审计、自然资源审计、农业农村审计等各项业务工作。</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3.项目实施情况</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 xml:space="preserve">   （一）强化组织领导，健全管理机制。自治区审计厅党组高度重视预算绩效管理工作，召开党组会议研究年度预算项目支出绩效目标完成情况，安排部署预算绩效管理工作。全面落实“预算编制有目标、预算执行有监控、预算完成有评价、评价结果有反馈、反馈结果有应用”的预算绩效管理机制，推动预算绩效管理落实落细。</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二）严格落实制度，压实绩效责任。严格落实《自治区审计厅实施预算绩效管理暂行办法》等制度规定，充分发挥“审计厅财务内控管理平台”作用，强化制度约束和审计项目管理，规范审计业务经费使用。压实具体资金使用部门和项目负责人的绩效责任，将“花钱必问效、无效必问责”的绩效约束，落实到项目支出全生命周期管理上，切实做到事前开展绩效评估、事中进行绩效监控、事后开展绩效评价，实现闭环管理。</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三）认真分析评价，提高资金效益。围绕审计项目数量、质量、时效、经济成本、经济效益、社会效益、服务对象满意度等7个方面内容，对预算执行情况和绩效目标实现程度实行“双监控”，确保预算绩效目标如期保质保量实现。对预算绩效管理中发现问题，认真分析原因，不断完善政策制度，改进管理方式方法，提高财政资金使用效益。</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4.资金投入和使用情况</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 xml:space="preserve">    审计业务经费2025年度预算资金安排2375.82万元，实际到位资金总额3744.51万元，年中追加资金1406.05万元，其中：金审三期项目建设经费1166.25万元，差旅费52.85万元，劳务费19.4万元，中山路办公用房维修改造项目77.72万元，全部为财政拨款资金。2025年一般公共预算拨款实际支付3741.44万元，预算执行率99.92%。</w:t>
      </w:r>
    </w:p>
    <w:p>
      <w:pPr>
        <w:spacing w:line="540" w:lineRule="exact"/>
        <w:ind w:firstLine="567" w:firstLineChars="181"/>
        <w:rPr>
          <w:rStyle w:val="17"/>
          <w:rFonts w:ascii="楷体" w:hAnsi="楷体" w:eastAsia="楷体"/>
          <w:spacing w:val="-4"/>
          <w:sz w:val="32"/>
          <w:szCs w:val="32"/>
        </w:rPr>
      </w:pPr>
      <w:r>
        <w:rPr>
          <w:rStyle w:val="17"/>
          <w:rFonts w:hint="eastAsia" w:ascii="楷体" w:hAnsi="楷体" w:eastAsia="楷体"/>
          <w:spacing w:val="-4"/>
          <w:sz w:val="32"/>
          <w:szCs w:val="32"/>
        </w:rPr>
        <w:t>（二）项目绩效目标。包括总体目标和阶段性目标。</w:t>
      </w:r>
    </w:p>
    <w:p>
      <w:pPr>
        <w:spacing w:line="540" w:lineRule="exact"/>
        <w:ind w:firstLine="567"/>
        <w:rPr>
          <w:rStyle w:val="17"/>
          <w:rFonts w:ascii="楷体" w:hAnsi="楷体" w:eastAsia="楷体"/>
          <w:spacing w:val="-4"/>
          <w:sz w:val="32"/>
          <w:szCs w:val="32"/>
        </w:rPr>
      </w:pPr>
      <w:r>
        <w:rPr>
          <w:rStyle w:val="17"/>
          <w:rFonts w:hint="eastAsia" w:ascii="楷体" w:hAnsi="楷体" w:eastAsia="楷体"/>
          <w:spacing w:val="-4"/>
          <w:sz w:val="32"/>
          <w:szCs w:val="32"/>
        </w:rPr>
        <w:t>1.总目标：紧紧围绕《自治区国民经济和社会发展第十四个五年规划和2035年远景目标纲要》明确的重点任务和自治区2025年经济工作部署，重点加大对贯彻新发展理念、“八大产业集群”、丝绸之路经济带核心区建设、防范化解重大风险、保障民生、水资源开发利用、巩固拓展脱贫攻坚成果同乡村振兴有效衔接、重点投资项目等国家及自治区重大政策措施落实情况的审计力度。进一步完善审计制度机制，依法全面履行审计监督职责，做好常态化“经济体检”工作，做到应审尽审、凡审必严，切实推动治理、服务发展、维护安全，确保审计监督更加有力、更加有效。</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2.阶段性目标：（1）严格落实自治区年度审计项目计划安排，高质量完成重大政策措施贯彻落实情况跟踪审计、财政审计、经济责任审计等各项审计任务，做好年度自治区本级预算执行和其他财政收支审计和审计查出问题整改情况报告工作，推动自治区党委、政府各项部署要求落实到位；（2）加强和改进审计管理和组织方式，深化审计资源调配，坚持科技强审，充分利用信息化手段，高质量推进自治区本级财政一级预算单位预算执行审计全覆盖，切实做到党中央重大政策措施部署到哪里，国家利益延伸到哪里，公共资金运用到哪里，公共权力使到哪里，审计监督就跟进到哪里；（3）强化审计查出问题整改情况的跟踪督促检查，严格对账销号，进一步压实整改主体责任，促进被审计单位制定整改措施、明确整改目标、完善制度机制；对已整改的问题及时组织“回头看”，防止敷衍整改、虚假整改；切实推动审计查出问题得到全部整改、彻底整改；（4）严格执行中央八项规定及其实施细则精神，大力推进精文简会，牢固树立绩效意识，全面实施预算绩效管理，推进内部控制管理工作，全面落实带头过“紧日子”要求；（5）强化专业训练、实践锻炼，通过业务培训，切实提升审计干部“能查、能说、能写”的能力，提高审计工作质量和水平。</w:t>
      </w:r>
    </w:p>
    <w:p>
      <w:pPr>
        <w:spacing w:line="540" w:lineRule="exact"/>
        <w:ind w:firstLine="640"/>
        <w:rPr>
          <w:rStyle w:val="17"/>
          <w:rFonts w:ascii="黑体" w:hAnsi="黑体" w:eastAsia="黑体"/>
          <w:b w:val="0"/>
          <w:spacing w:val="-4"/>
          <w:sz w:val="32"/>
          <w:szCs w:val="32"/>
        </w:rPr>
      </w:pPr>
      <w:r>
        <w:rPr>
          <w:rStyle w:val="17"/>
          <w:rFonts w:hint="eastAsia" w:ascii="黑体" w:hAnsi="黑体" w:eastAsia="黑体"/>
          <w:b w:val="0"/>
          <w:spacing w:val="-4"/>
          <w:sz w:val="32"/>
          <w:szCs w:val="32"/>
        </w:rPr>
        <w:t>二、</w:t>
      </w:r>
      <w:r>
        <w:rPr>
          <w:rStyle w:val="17"/>
          <w:rFonts w:hint="eastAsia"/>
          <w:spacing w:val="-4"/>
          <w:sz w:val="32"/>
          <w:szCs w:val="32"/>
        </w:rPr>
        <w:t>绩效评价工作开展情况</w:t>
      </w:r>
    </w:p>
    <w:p>
      <w:pPr>
        <w:spacing w:line="540" w:lineRule="exact"/>
        <w:ind w:firstLine="567" w:firstLineChars="181"/>
        <w:rPr>
          <w:rStyle w:val="17"/>
          <w:rFonts w:ascii="楷体" w:hAnsi="楷体" w:eastAsia="楷体"/>
          <w:spacing w:val="-4"/>
          <w:sz w:val="32"/>
          <w:szCs w:val="32"/>
        </w:rPr>
      </w:pPr>
      <w:r>
        <w:rPr>
          <w:rStyle w:val="17"/>
          <w:rFonts w:hint="eastAsia" w:ascii="楷体" w:hAnsi="楷体" w:eastAsia="楷体"/>
          <w:spacing w:val="-4"/>
          <w:sz w:val="32"/>
          <w:szCs w:val="32"/>
        </w:rPr>
        <w:t>（一）绩效评价目的、对象和范围。</w:t>
      </w:r>
    </w:p>
    <w:p>
      <w:pPr>
        <w:spacing w:line="540" w:lineRule="exact"/>
        <w:ind w:firstLine="567"/>
        <w:rPr>
          <w:rStyle w:val="17"/>
          <w:rFonts w:ascii="楷体" w:hAnsi="楷体" w:eastAsia="楷体"/>
          <w:spacing w:val="-4"/>
          <w:sz w:val="32"/>
          <w:szCs w:val="32"/>
        </w:rPr>
      </w:pPr>
      <w:r>
        <w:rPr>
          <w:rStyle w:val="17"/>
          <w:rFonts w:hint="eastAsia" w:ascii="楷体" w:hAnsi="楷体" w:eastAsia="楷体"/>
          <w:spacing w:val="-4"/>
          <w:sz w:val="32"/>
          <w:szCs w:val="32"/>
        </w:rPr>
        <w:t>绩效评价旨在通过评价改善审计厅整体财政支出管理，优化资源配置及提高服务水平。运用科学、规范的绩效评价方法，按照《中共中央 国务院关于全面实施预算绩效管理的意见》（中发〔2018〕34号）、《自治区党委 自治区人民政府关于全面实施预算绩效管理的实施意见》（新党发〔2018〕30号）以及自治区财政厅《关于印发﹤自治区本级财政支出绩效评价管理暂行办法﹥的通知》（新财预〔2018〕188号）的要求，对审计业务经费项目进行科学评价，确保项目预算编制合理性、资金使用合规性、项目管理的规范性、项目目标的实现情况、服务对象的满意度等，通过评价来总结经验，促进项目成果应用，为今后项目的长效管理，提供可行性参考建议。贯彻落实好全面实施预算绩效管理工作要求，认真梳理总结推进预算绩效管理工作经验，进一步增强预算绩效管理主体责任意识，细化分解各项任务目标，确保组织保障到位，任务安排到底，责任落实到人，逐步提高预算绩效管理水平。本次评价从项目决策（包括绩效目标、决策过程）、项目管理（包括项目资金、项目实施）、项目产出（包括项目产出数量、产出质量）经济效益四个维度进行评价，评价对象为财政下达审计业务经费项目，评价核心为项目资金的支出完成情况和效果。</w:t>
      </w:r>
    </w:p>
    <w:p>
      <w:pPr>
        <w:spacing w:line="540" w:lineRule="exact"/>
        <w:ind w:firstLine="567" w:firstLineChars="181"/>
        <w:rPr>
          <w:rStyle w:val="17"/>
          <w:rFonts w:ascii="楷体" w:hAnsi="楷体" w:eastAsia="楷体"/>
          <w:spacing w:val="-4"/>
          <w:sz w:val="32"/>
          <w:szCs w:val="32"/>
        </w:rPr>
      </w:pPr>
      <w:r>
        <w:rPr>
          <w:rStyle w:val="17"/>
          <w:rFonts w:hint="eastAsia" w:ascii="楷体" w:hAnsi="楷体" w:eastAsia="楷体"/>
          <w:spacing w:val="-4"/>
          <w:sz w:val="32"/>
          <w:szCs w:val="32"/>
        </w:rPr>
        <w:t>（二）绩效评价原则、评价指标体系（附表说明）、评价方法、评价标准等。</w:t>
      </w:r>
    </w:p>
    <w:p>
      <w:pPr>
        <w:spacing w:line="540" w:lineRule="exact"/>
        <w:ind w:firstLine="567"/>
        <w:rPr>
          <w:rStyle w:val="17"/>
          <w:rFonts w:ascii="楷体" w:hAnsi="楷体" w:eastAsia="楷体"/>
          <w:spacing w:val="-4"/>
          <w:sz w:val="32"/>
          <w:szCs w:val="32"/>
        </w:rPr>
      </w:pPr>
      <w:r>
        <w:rPr>
          <w:rStyle w:val="17"/>
          <w:rFonts w:hint="eastAsia" w:ascii="楷体" w:hAnsi="楷体" w:eastAsia="楷体"/>
          <w:spacing w:val="-4"/>
          <w:sz w:val="32"/>
          <w:szCs w:val="32"/>
        </w:rPr>
        <w:t>本次绩效评价指标体系围绕项目产出、成本、效益、满意度等4个一级指标，设定了7个二级指标、66个三级指标的绩效目标。截至11月底，设定的指标均已完成，绩效目标总体实现比率为100%。。评价方法主要包括成本效益分析法、比较法、因素分析法、最低成本法、公众评判法、标杆管理法等。针对本项目，在评价过程中主要采用了因素分析法、成本效益分析法等。绩效评价标准通常包括计划标准、行业标准、历史标准等，用于对绩效指标完成情况进行比较。本次评价主要采用了计划标准。</w:t>
      </w:r>
    </w:p>
    <w:p>
      <w:pPr>
        <w:spacing w:line="540" w:lineRule="exact"/>
        <w:ind w:firstLine="567" w:firstLineChars="181"/>
        <w:rPr>
          <w:rStyle w:val="17"/>
          <w:rFonts w:ascii="楷体" w:hAnsi="楷体" w:eastAsia="楷体"/>
          <w:spacing w:val="-4"/>
          <w:sz w:val="32"/>
          <w:szCs w:val="32"/>
        </w:rPr>
      </w:pPr>
      <w:r>
        <w:rPr>
          <w:rStyle w:val="17"/>
          <w:rFonts w:hint="eastAsia" w:ascii="楷体" w:hAnsi="楷体" w:eastAsia="楷体"/>
          <w:spacing w:val="-4"/>
          <w:sz w:val="32"/>
          <w:szCs w:val="32"/>
        </w:rPr>
        <w:t>（三）绩效评价工作过程。</w:t>
      </w:r>
    </w:p>
    <w:p>
      <w:pPr>
        <w:spacing w:line="540" w:lineRule="exact"/>
        <w:ind w:firstLine="567"/>
        <w:rPr>
          <w:rStyle w:val="17"/>
          <w:rFonts w:ascii="楷体" w:hAnsi="楷体" w:eastAsia="楷体"/>
          <w:spacing w:val="-4"/>
          <w:sz w:val="32"/>
          <w:szCs w:val="32"/>
        </w:rPr>
      </w:pPr>
      <w:r>
        <w:rPr>
          <w:rStyle w:val="17"/>
          <w:rFonts w:hint="eastAsia" w:ascii="楷体" w:hAnsi="楷体" w:eastAsia="楷体"/>
          <w:spacing w:val="-4"/>
          <w:sz w:val="32"/>
          <w:szCs w:val="32"/>
        </w:rPr>
        <w:t>包括评价基础数据收集、资料来源和依据等佐证材料等情况。 项目负责各部门围绕项目预期要达到的总体目标、完成的工作量、工作质量、完成时间、应达到的预期效果等指标，不断完善该项目的所有资料准备，保障各项任务如期完成，并及时对项目进行支付和反馈。</w:t>
      </w:r>
    </w:p>
    <w:p>
      <w:pPr>
        <w:spacing w:line="540" w:lineRule="exact"/>
        <w:ind w:firstLine="640"/>
        <w:rPr>
          <w:rStyle w:val="17"/>
          <w:rFonts w:hint="eastAsia" w:ascii="黑体" w:hAnsi="黑体" w:eastAsia="黑体"/>
          <w:b w:val="0"/>
          <w:spacing w:val="-4"/>
          <w:sz w:val="32"/>
          <w:szCs w:val="32"/>
        </w:rPr>
      </w:pPr>
      <w:r>
        <w:rPr>
          <w:rStyle w:val="17"/>
          <w:rFonts w:hint="eastAsia" w:ascii="黑体" w:hAnsi="黑体" w:eastAsia="黑体"/>
          <w:b w:val="0"/>
          <w:spacing w:val="-4"/>
          <w:sz w:val="32"/>
          <w:szCs w:val="32"/>
        </w:rPr>
        <w:t>三、</w:t>
      </w:r>
      <w:r>
        <w:rPr>
          <w:rStyle w:val="17"/>
          <w:rFonts w:hint="eastAsia"/>
          <w:spacing w:val="-4"/>
          <w:sz w:val="32"/>
          <w:szCs w:val="32"/>
        </w:rPr>
        <w:t>综合评价情况及评价结论</w:t>
      </w:r>
    </w:p>
    <w:p>
      <w:pPr>
        <w:spacing w:line="540" w:lineRule="exact"/>
        <w:ind w:firstLine="567"/>
        <w:rPr>
          <w:rStyle w:val="17"/>
          <w:rFonts w:hint="eastAsia" w:ascii="楷体" w:hAnsi="楷体" w:eastAsia="楷体"/>
          <w:spacing w:val="-4"/>
          <w:sz w:val="32"/>
          <w:szCs w:val="32"/>
        </w:rPr>
      </w:pPr>
      <w:r>
        <w:rPr>
          <w:rStyle w:val="17"/>
          <w:rFonts w:hint="eastAsia" w:ascii="楷体" w:hAnsi="楷体" w:eastAsia="楷体"/>
          <w:spacing w:val="-4"/>
          <w:sz w:val="32"/>
          <w:szCs w:val="32"/>
        </w:rPr>
        <w:t>审计业务经费绩效目标完成比率100%。2025年，自治区审计厅聚焦党中央决策部署和自治区党委中心工作，围绕推进自治区全面深化财政体制改革、着力推进重点项目建设和扩大内需、推动加快构建现代化产业体系、纵深推进全面从严治党等10个方面，统筹谋划了77个审计项目（含授权审计26个）年度计划。截至11月底，计划安排的审计项目全部实施，产出指标完成比率达100%。</w:t>
      </w:r>
    </w:p>
    <w:p>
      <w:pPr>
        <w:spacing w:line="540" w:lineRule="exact"/>
        <w:ind w:firstLine="640"/>
        <w:rPr>
          <w:rStyle w:val="17"/>
          <w:rFonts w:ascii="黑体" w:hAnsi="黑体" w:eastAsia="黑体"/>
        </w:rPr>
      </w:pPr>
      <w:r>
        <w:rPr>
          <w:rStyle w:val="17"/>
          <w:rFonts w:hint="eastAsia" w:ascii="黑体" w:hAnsi="黑体" w:eastAsia="黑体"/>
          <w:b w:val="0"/>
          <w:spacing w:val="-4"/>
          <w:sz w:val="32"/>
          <w:szCs w:val="32"/>
        </w:rPr>
        <w:t>四、</w:t>
      </w:r>
      <w:r>
        <w:rPr>
          <w:rStyle w:val="17"/>
          <w:rFonts w:hint="eastAsia"/>
          <w:spacing w:val="-4"/>
          <w:sz w:val="32"/>
          <w:szCs w:val="32"/>
        </w:rPr>
        <w:t>绩效评价指标分析</w:t>
      </w:r>
      <w:r>
        <w:rPr>
          <w:rStyle w:val="17"/>
          <w:rFonts w:hint="eastAsia" w:ascii="黑体" w:hAnsi="黑体" w:eastAsia="黑体"/>
          <w:b w:val="0"/>
          <w:spacing w:val="-4"/>
          <w:sz w:val="32"/>
          <w:szCs w:val="32"/>
        </w:rPr>
        <w:t xml:space="preserve"> </w:t>
      </w:r>
    </w:p>
    <w:p>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（一）项目决策情况。</w:t>
      </w:r>
    </w:p>
    <w:p>
      <w:pPr>
        <w:spacing w:line="540" w:lineRule="exact"/>
        <w:ind w:firstLine="567"/>
        <w:rPr>
          <w:rStyle w:val="17"/>
          <w:rFonts w:ascii="楷体" w:hAnsi="楷体" w:eastAsia="楷体"/>
          <w:spacing w:val="-4"/>
          <w:sz w:val="32"/>
          <w:szCs w:val="32"/>
        </w:rPr>
      </w:pPr>
      <w:r>
        <w:rPr>
          <w:rStyle w:val="17"/>
          <w:rFonts w:hint="eastAsia" w:ascii="楷体" w:hAnsi="楷体" w:eastAsia="楷体"/>
          <w:spacing w:val="-4"/>
          <w:sz w:val="32"/>
          <w:szCs w:val="32"/>
        </w:rPr>
        <w:t>项目决策指标从决策依据、目标内容、资金投入3个方面对项目的决策目标完成情况进行评价，项目决策类指标分值10分，实际得分10分，得分率100%。项目决策指标得分情况如表所示。</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 xml:space="preserve">项目决策指标得分情况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一级指标</w:t>
      </w:r>
      <w:r>
        <w:rPr>
          <w:rStyle w:val="17"/>
          <w:rFonts w:hint="eastAsia" w:ascii="楷体" w:hAnsi="楷体" w:eastAsia="楷体"/>
          <w:spacing w:val="-4"/>
          <w:sz w:val="32"/>
          <w:szCs w:val="32"/>
        </w:rPr>
        <w:tab/>
      </w:r>
      <w:r>
        <w:rPr>
          <w:rStyle w:val="17"/>
          <w:rFonts w:hint="eastAsia" w:ascii="楷体" w:hAnsi="楷体" w:eastAsia="楷体"/>
          <w:spacing w:val="-4"/>
          <w:sz w:val="32"/>
          <w:szCs w:val="32"/>
        </w:rPr>
        <w:t>权重</w:t>
      </w:r>
      <w:r>
        <w:rPr>
          <w:rStyle w:val="17"/>
          <w:rFonts w:hint="eastAsia" w:ascii="楷体" w:hAnsi="楷体" w:eastAsia="楷体"/>
          <w:spacing w:val="-4"/>
          <w:sz w:val="32"/>
          <w:szCs w:val="32"/>
        </w:rPr>
        <w:tab/>
      </w:r>
      <w:r>
        <w:rPr>
          <w:rStyle w:val="17"/>
          <w:rFonts w:hint="eastAsia" w:ascii="楷体" w:hAnsi="楷体" w:eastAsia="楷体"/>
          <w:spacing w:val="-4"/>
          <w:sz w:val="32"/>
          <w:szCs w:val="32"/>
        </w:rPr>
        <w:t>得分率</w:t>
      </w:r>
      <w:r>
        <w:rPr>
          <w:rStyle w:val="17"/>
          <w:rFonts w:hint="eastAsia" w:ascii="楷体" w:hAnsi="楷体" w:eastAsia="楷体"/>
          <w:spacing w:val="-4"/>
          <w:sz w:val="32"/>
          <w:szCs w:val="32"/>
        </w:rPr>
        <w:tab/>
      </w:r>
      <w:r>
        <w:rPr>
          <w:rStyle w:val="17"/>
          <w:rFonts w:hint="eastAsia" w:ascii="楷体" w:hAnsi="楷体" w:eastAsia="楷体"/>
          <w:spacing w:val="-4"/>
          <w:sz w:val="32"/>
          <w:szCs w:val="32"/>
        </w:rPr>
        <w:t xml:space="preserve">实际得分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A.项目立项</w:t>
      </w:r>
      <w:r>
        <w:rPr>
          <w:rStyle w:val="17"/>
          <w:rFonts w:hint="eastAsia" w:ascii="楷体" w:hAnsi="楷体" w:eastAsia="楷体"/>
          <w:spacing w:val="-4"/>
          <w:sz w:val="32"/>
          <w:szCs w:val="32"/>
        </w:rPr>
        <w:tab/>
      </w:r>
      <w:r>
        <w:rPr>
          <w:rStyle w:val="17"/>
          <w:rFonts w:hint="eastAsia" w:ascii="楷体" w:hAnsi="楷体" w:eastAsia="楷体"/>
          <w:spacing w:val="-4"/>
          <w:sz w:val="32"/>
          <w:szCs w:val="32"/>
        </w:rPr>
        <w:t>5</w:t>
      </w:r>
      <w:r>
        <w:rPr>
          <w:rStyle w:val="17"/>
          <w:rFonts w:hint="eastAsia" w:ascii="楷体" w:hAnsi="楷体" w:eastAsia="楷体"/>
          <w:spacing w:val="-4"/>
          <w:sz w:val="32"/>
          <w:szCs w:val="32"/>
        </w:rPr>
        <w:tab/>
      </w:r>
      <w:r>
        <w:rPr>
          <w:rStyle w:val="17"/>
          <w:rFonts w:hint="eastAsia" w:ascii="楷体" w:hAnsi="楷体" w:eastAsia="楷体"/>
          <w:spacing w:val="-4"/>
          <w:sz w:val="32"/>
          <w:szCs w:val="32"/>
        </w:rPr>
        <w:t>100%</w:t>
      </w:r>
      <w:r>
        <w:rPr>
          <w:rStyle w:val="17"/>
          <w:rFonts w:hint="eastAsia" w:ascii="楷体" w:hAnsi="楷体" w:eastAsia="楷体"/>
          <w:spacing w:val="-4"/>
          <w:sz w:val="32"/>
          <w:szCs w:val="32"/>
        </w:rPr>
        <w:tab/>
      </w:r>
      <w:r>
        <w:rPr>
          <w:rStyle w:val="17"/>
          <w:rFonts w:hint="eastAsia" w:ascii="楷体" w:hAnsi="楷体" w:eastAsia="楷体"/>
          <w:spacing w:val="-4"/>
          <w:sz w:val="32"/>
          <w:szCs w:val="32"/>
        </w:rPr>
        <w:t xml:space="preserve">5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B.绩效目标</w:t>
      </w:r>
      <w:r>
        <w:rPr>
          <w:rStyle w:val="17"/>
          <w:rFonts w:hint="eastAsia" w:ascii="楷体" w:hAnsi="楷体" w:eastAsia="楷体"/>
          <w:spacing w:val="-4"/>
          <w:sz w:val="32"/>
          <w:szCs w:val="32"/>
        </w:rPr>
        <w:tab/>
      </w:r>
      <w:r>
        <w:rPr>
          <w:rStyle w:val="17"/>
          <w:rFonts w:hint="eastAsia" w:ascii="楷体" w:hAnsi="楷体" w:eastAsia="楷体"/>
          <w:spacing w:val="-4"/>
          <w:sz w:val="32"/>
          <w:szCs w:val="32"/>
        </w:rPr>
        <w:t>3</w:t>
      </w:r>
      <w:r>
        <w:rPr>
          <w:rStyle w:val="17"/>
          <w:rFonts w:hint="eastAsia" w:ascii="楷体" w:hAnsi="楷体" w:eastAsia="楷体"/>
          <w:spacing w:val="-4"/>
          <w:sz w:val="32"/>
          <w:szCs w:val="32"/>
        </w:rPr>
        <w:tab/>
      </w:r>
      <w:r>
        <w:rPr>
          <w:rStyle w:val="17"/>
          <w:rFonts w:hint="eastAsia" w:ascii="楷体" w:hAnsi="楷体" w:eastAsia="楷体"/>
          <w:spacing w:val="-4"/>
          <w:sz w:val="32"/>
          <w:szCs w:val="32"/>
        </w:rPr>
        <w:t>100%</w:t>
      </w:r>
      <w:r>
        <w:rPr>
          <w:rStyle w:val="17"/>
          <w:rFonts w:hint="eastAsia" w:ascii="楷体" w:hAnsi="楷体" w:eastAsia="楷体"/>
          <w:spacing w:val="-4"/>
          <w:sz w:val="32"/>
          <w:szCs w:val="32"/>
        </w:rPr>
        <w:tab/>
      </w:r>
      <w:r>
        <w:rPr>
          <w:rStyle w:val="17"/>
          <w:rFonts w:hint="eastAsia" w:ascii="楷体" w:hAnsi="楷体" w:eastAsia="楷体"/>
          <w:spacing w:val="-4"/>
          <w:sz w:val="32"/>
          <w:szCs w:val="32"/>
        </w:rPr>
        <w:t xml:space="preserve">3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C.资金投入</w:t>
      </w:r>
      <w:r>
        <w:rPr>
          <w:rStyle w:val="17"/>
          <w:rFonts w:hint="eastAsia" w:ascii="楷体" w:hAnsi="楷体" w:eastAsia="楷体"/>
          <w:spacing w:val="-4"/>
          <w:sz w:val="32"/>
          <w:szCs w:val="32"/>
        </w:rPr>
        <w:tab/>
      </w:r>
      <w:r>
        <w:rPr>
          <w:rStyle w:val="17"/>
          <w:rFonts w:hint="eastAsia" w:ascii="楷体" w:hAnsi="楷体" w:eastAsia="楷体"/>
          <w:spacing w:val="-4"/>
          <w:sz w:val="32"/>
          <w:szCs w:val="32"/>
        </w:rPr>
        <w:t>2</w:t>
      </w:r>
      <w:r>
        <w:rPr>
          <w:rStyle w:val="17"/>
          <w:rFonts w:hint="eastAsia" w:ascii="楷体" w:hAnsi="楷体" w:eastAsia="楷体"/>
          <w:spacing w:val="-4"/>
          <w:sz w:val="32"/>
          <w:szCs w:val="32"/>
        </w:rPr>
        <w:tab/>
      </w:r>
      <w:r>
        <w:rPr>
          <w:rStyle w:val="17"/>
          <w:rFonts w:hint="eastAsia" w:ascii="楷体" w:hAnsi="楷体" w:eastAsia="楷体"/>
          <w:spacing w:val="-4"/>
          <w:sz w:val="32"/>
          <w:szCs w:val="32"/>
        </w:rPr>
        <w:t>100%</w:t>
      </w:r>
      <w:r>
        <w:rPr>
          <w:rStyle w:val="17"/>
          <w:rFonts w:hint="eastAsia" w:ascii="楷体" w:hAnsi="楷体" w:eastAsia="楷体"/>
          <w:spacing w:val="-4"/>
          <w:sz w:val="32"/>
          <w:szCs w:val="32"/>
        </w:rPr>
        <w:tab/>
      </w:r>
      <w:r>
        <w:rPr>
          <w:rStyle w:val="17"/>
          <w:rFonts w:hint="eastAsia" w:ascii="楷体" w:hAnsi="楷体" w:eastAsia="楷体"/>
          <w:spacing w:val="-4"/>
          <w:sz w:val="32"/>
          <w:szCs w:val="32"/>
        </w:rPr>
        <w:t xml:space="preserve">2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合  计</w:t>
      </w:r>
      <w:r>
        <w:rPr>
          <w:rStyle w:val="17"/>
          <w:rFonts w:hint="eastAsia" w:ascii="楷体" w:hAnsi="楷体" w:eastAsia="楷体"/>
          <w:spacing w:val="-4"/>
          <w:sz w:val="32"/>
          <w:szCs w:val="32"/>
        </w:rPr>
        <w:tab/>
      </w:r>
      <w:r>
        <w:rPr>
          <w:rStyle w:val="17"/>
          <w:rFonts w:hint="eastAsia" w:ascii="楷体" w:hAnsi="楷体" w:eastAsia="楷体"/>
          <w:spacing w:val="-4"/>
          <w:sz w:val="32"/>
          <w:szCs w:val="32"/>
        </w:rPr>
        <w:t>10</w:t>
      </w:r>
      <w:r>
        <w:rPr>
          <w:rStyle w:val="17"/>
          <w:rFonts w:hint="eastAsia" w:ascii="楷体" w:hAnsi="楷体" w:eastAsia="楷体"/>
          <w:spacing w:val="-4"/>
          <w:sz w:val="32"/>
          <w:szCs w:val="32"/>
        </w:rPr>
        <w:tab/>
      </w:r>
      <w:r>
        <w:rPr>
          <w:rStyle w:val="17"/>
          <w:rFonts w:hint="eastAsia" w:ascii="楷体" w:hAnsi="楷体" w:eastAsia="楷体"/>
          <w:spacing w:val="-4"/>
          <w:sz w:val="32"/>
          <w:szCs w:val="32"/>
        </w:rPr>
        <w:t>100%</w:t>
      </w:r>
      <w:r>
        <w:rPr>
          <w:rStyle w:val="17"/>
          <w:rFonts w:hint="eastAsia" w:ascii="楷体" w:hAnsi="楷体" w:eastAsia="楷体"/>
          <w:spacing w:val="-4"/>
          <w:sz w:val="32"/>
          <w:szCs w:val="32"/>
        </w:rPr>
        <w:tab/>
      </w:r>
      <w:r>
        <w:rPr>
          <w:rStyle w:val="17"/>
          <w:rFonts w:hint="eastAsia" w:ascii="楷体" w:hAnsi="楷体" w:eastAsia="楷体"/>
          <w:spacing w:val="-4"/>
          <w:sz w:val="32"/>
          <w:szCs w:val="32"/>
        </w:rPr>
        <w:t xml:space="preserve">10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 xml:space="preserve">    经过论证，我们认为审计业务经费项目，根据2024年度审计项目计划，坚持以习近平总书记关于审计工作的重要论述为纲和魂，秉承审计监督服务保障自治区工作大局的理念，严把审计政治方向，聚焦审计重点任务，创新审计理念模式，强化审计职能作用，全力推动新时代审计事业高质量发展，以权威高效的审计监督规范权力运行、保障政令畅通，促进正风肃纪反腐，推动经济社会高质量发展。评价认为该项目年度计划方案完整，立项清晰，项目依据文件齐全，申报材料审批完整。根据评分标准，该指标得分10分，得分率100%。</w:t>
      </w:r>
    </w:p>
    <w:p>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（二）项目过程情况。</w:t>
      </w:r>
    </w:p>
    <w:p>
      <w:pPr>
        <w:spacing w:line="540" w:lineRule="exact"/>
        <w:ind w:firstLine="567"/>
        <w:rPr>
          <w:rStyle w:val="17"/>
          <w:rFonts w:ascii="楷体" w:hAnsi="楷体" w:eastAsia="楷体"/>
          <w:spacing w:val="-4"/>
          <w:sz w:val="32"/>
          <w:szCs w:val="32"/>
        </w:rPr>
      </w:pPr>
      <w:r>
        <w:rPr>
          <w:rStyle w:val="17"/>
          <w:rFonts w:hint="eastAsia" w:ascii="楷体" w:hAnsi="楷体" w:eastAsia="楷体"/>
          <w:spacing w:val="-4"/>
          <w:sz w:val="32"/>
          <w:szCs w:val="32"/>
        </w:rPr>
        <w:t xml:space="preserve">项目过程指标从项目资金管理情况、组织实施2个方面对项目的管理情况进行评价。项目过程指标分值20分，实际得分20分，得分率为100%。项目过程指标得分情况如表所示。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 xml:space="preserve">项目过程指标得分情况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一级指标</w:t>
      </w:r>
      <w:r>
        <w:rPr>
          <w:rStyle w:val="17"/>
          <w:rFonts w:hint="eastAsia" w:ascii="楷体" w:hAnsi="楷体" w:eastAsia="楷体"/>
          <w:spacing w:val="-4"/>
          <w:sz w:val="32"/>
          <w:szCs w:val="32"/>
        </w:rPr>
        <w:tab/>
      </w:r>
      <w:r>
        <w:rPr>
          <w:rStyle w:val="17"/>
          <w:rFonts w:hint="eastAsia" w:ascii="楷体" w:hAnsi="楷体" w:eastAsia="楷体"/>
          <w:spacing w:val="-4"/>
          <w:sz w:val="32"/>
          <w:szCs w:val="32"/>
        </w:rPr>
        <w:t>权重</w:t>
      </w:r>
      <w:r>
        <w:rPr>
          <w:rStyle w:val="17"/>
          <w:rFonts w:hint="eastAsia" w:ascii="楷体" w:hAnsi="楷体" w:eastAsia="楷体"/>
          <w:spacing w:val="-4"/>
          <w:sz w:val="32"/>
          <w:szCs w:val="32"/>
        </w:rPr>
        <w:tab/>
      </w:r>
      <w:r>
        <w:rPr>
          <w:rStyle w:val="17"/>
          <w:rFonts w:hint="eastAsia" w:ascii="楷体" w:hAnsi="楷体" w:eastAsia="楷体"/>
          <w:spacing w:val="-4"/>
          <w:sz w:val="32"/>
          <w:szCs w:val="32"/>
        </w:rPr>
        <w:t>得分率</w:t>
      </w:r>
      <w:r>
        <w:rPr>
          <w:rStyle w:val="17"/>
          <w:rFonts w:hint="eastAsia" w:ascii="楷体" w:hAnsi="楷体" w:eastAsia="楷体"/>
          <w:spacing w:val="-4"/>
          <w:sz w:val="32"/>
          <w:szCs w:val="32"/>
        </w:rPr>
        <w:tab/>
      </w:r>
      <w:r>
        <w:rPr>
          <w:rStyle w:val="17"/>
          <w:rFonts w:hint="eastAsia" w:ascii="楷体" w:hAnsi="楷体" w:eastAsia="楷体"/>
          <w:spacing w:val="-4"/>
          <w:sz w:val="32"/>
          <w:szCs w:val="32"/>
        </w:rPr>
        <w:t xml:space="preserve">实际得分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A.资金管理</w:t>
      </w:r>
      <w:r>
        <w:rPr>
          <w:rStyle w:val="17"/>
          <w:rFonts w:hint="eastAsia" w:ascii="楷体" w:hAnsi="楷体" w:eastAsia="楷体"/>
          <w:spacing w:val="-4"/>
          <w:sz w:val="32"/>
          <w:szCs w:val="32"/>
        </w:rPr>
        <w:tab/>
      </w:r>
      <w:r>
        <w:rPr>
          <w:rStyle w:val="17"/>
          <w:rFonts w:hint="eastAsia" w:ascii="楷体" w:hAnsi="楷体" w:eastAsia="楷体"/>
          <w:spacing w:val="-4"/>
          <w:sz w:val="32"/>
          <w:szCs w:val="32"/>
        </w:rPr>
        <w:t>10</w:t>
      </w:r>
      <w:r>
        <w:rPr>
          <w:rStyle w:val="17"/>
          <w:rFonts w:hint="eastAsia" w:ascii="楷体" w:hAnsi="楷体" w:eastAsia="楷体"/>
          <w:spacing w:val="-4"/>
          <w:sz w:val="32"/>
          <w:szCs w:val="32"/>
        </w:rPr>
        <w:tab/>
      </w:r>
      <w:r>
        <w:rPr>
          <w:rStyle w:val="17"/>
          <w:rFonts w:hint="eastAsia" w:ascii="楷体" w:hAnsi="楷体" w:eastAsia="楷体"/>
          <w:spacing w:val="-4"/>
          <w:sz w:val="32"/>
          <w:szCs w:val="32"/>
        </w:rPr>
        <w:t>100%</w:t>
      </w:r>
      <w:r>
        <w:rPr>
          <w:rStyle w:val="17"/>
          <w:rFonts w:hint="eastAsia" w:ascii="楷体" w:hAnsi="楷体" w:eastAsia="楷体"/>
          <w:spacing w:val="-4"/>
          <w:sz w:val="32"/>
          <w:szCs w:val="32"/>
        </w:rPr>
        <w:tab/>
      </w:r>
      <w:r>
        <w:rPr>
          <w:rStyle w:val="17"/>
          <w:rFonts w:hint="eastAsia" w:ascii="楷体" w:hAnsi="楷体" w:eastAsia="楷体"/>
          <w:spacing w:val="-4"/>
          <w:sz w:val="32"/>
          <w:szCs w:val="32"/>
        </w:rPr>
        <w:t xml:space="preserve">10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B.组织实施</w:t>
      </w:r>
      <w:r>
        <w:rPr>
          <w:rStyle w:val="17"/>
          <w:rFonts w:hint="eastAsia" w:ascii="楷体" w:hAnsi="楷体" w:eastAsia="楷体"/>
          <w:spacing w:val="-4"/>
          <w:sz w:val="32"/>
          <w:szCs w:val="32"/>
        </w:rPr>
        <w:tab/>
      </w:r>
      <w:r>
        <w:rPr>
          <w:rStyle w:val="17"/>
          <w:rFonts w:hint="eastAsia" w:ascii="楷体" w:hAnsi="楷体" w:eastAsia="楷体"/>
          <w:spacing w:val="-4"/>
          <w:sz w:val="32"/>
          <w:szCs w:val="32"/>
        </w:rPr>
        <w:t>10</w:t>
      </w:r>
      <w:r>
        <w:rPr>
          <w:rStyle w:val="17"/>
          <w:rFonts w:hint="eastAsia" w:ascii="楷体" w:hAnsi="楷体" w:eastAsia="楷体"/>
          <w:spacing w:val="-4"/>
          <w:sz w:val="32"/>
          <w:szCs w:val="32"/>
        </w:rPr>
        <w:tab/>
      </w:r>
      <w:r>
        <w:rPr>
          <w:rStyle w:val="17"/>
          <w:rFonts w:hint="eastAsia" w:ascii="楷体" w:hAnsi="楷体" w:eastAsia="楷体"/>
          <w:spacing w:val="-4"/>
          <w:sz w:val="32"/>
          <w:szCs w:val="32"/>
        </w:rPr>
        <w:t>100%</w:t>
      </w:r>
      <w:r>
        <w:rPr>
          <w:rStyle w:val="17"/>
          <w:rFonts w:hint="eastAsia" w:ascii="楷体" w:hAnsi="楷体" w:eastAsia="楷体"/>
          <w:spacing w:val="-4"/>
          <w:sz w:val="32"/>
          <w:szCs w:val="32"/>
        </w:rPr>
        <w:tab/>
      </w:r>
      <w:r>
        <w:rPr>
          <w:rStyle w:val="17"/>
          <w:rFonts w:hint="eastAsia" w:ascii="楷体" w:hAnsi="楷体" w:eastAsia="楷体"/>
          <w:spacing w:val="-4"/>
          <w:sz w:val="32"/>
          <w:szCs w:val="32"/>
        </w:rPr>
        <w:t xml:space="preserve">10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合  计</w:t>
      </w:r>
      <w:r>
        <w:rPr>
          <w:rStyle w:val="17"/>
          <w:rFonts w:hint="eastAsia" w:ascii="楷体" w:hAnsi="楷体" w:eastAsia="楷体"/>
          <w:spacing w:val="-4"/>
          <w:sz w:val="32"/>
          <w:szCs w:val="32"/>
        </w:rPr>
        <w:tab/>
      </w:r>
      <w:r>
        <w:rPr>
          <w:rStyle w:val="17"/>
          <w:rFonts w:hint="eastAsia" w:ascii="楷体" w:hAnsi="楷体" w:eastAsia="楷体"/>
          <w:spacing w:val="-4"/>
          <w:sz w:val="32"/>
          <w:szCs w:val="32"/>
        </w:rPr>
        <w:t>20</w:t>
      </w:r>
      <w:r>
        <w:rPr>
          <w:rStyle w:val="17"/>
          <w:rFonts w:hint="eastAsia" w:ascii="楷体" w:hAnsi="楷体" w:eastAsia="楷体"/>
          <w:spacing w:val="-4"/>
          <w:sz w:val="32"/>
          <w:szCs w:val="32"/>
        </w:rPr>
        <w:tab/>
      </w:r>
      <w:r>
        <w:rPr>
          <w:rStyle w:val="17"/>
          <w:rFonts w:hint="eastAsia" w:ascii="楷体" w:hAnsi="楷体" w:eastAsia="楷体"/>
          <w:spacing w:val="-4"/>
          <w:sz w:val="32"/>
          <w:szCs w:val="32"/>
        </w:rPr>
        <w:t>100%</w:t>
      </w:r>
      <w:r>
        <w:rPr>
          <w:rStyle w:val="17"/>
          <w:rFonts w:hint="eastAsia" w:ascii="楷体" w:hAnsi="楷体" w:eastAsia="楷体"/>
          <w:spacing w:val="-4"/>
          <w:sz w:val="32"/>
          <w:szCs w:val="32"/>
        </w:rPr>
        <w:tab/>
      </w:r>
      <w:r>
        <w:rPr>
          <w:rStyle w:val="17"/>
          <w:rFonts w:hint="eastAsia" w:ascii="楷体" w:hAnsi="楷体" w:eastAsia="楷体"/>
          <w:spacing w:val="-4"/>
          <w:sz w:val="32"/>
          <w:szCs w:val="32"/>
        </w:rPr>
        <w:t xml:space="preserve">20  </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 xml:space="preserve">    对于资金管理方面，审计业务经费项目2025年列入财政资金预算，资金到位及时，到位率为100%，资金使用合法、合规。根据评分标准，该指标不扣分。对于组织实施方面，审计厅管理制度健全，分工明确，制度执行不存在不相容岗位兼任情况。根据评分标准，该指标不扣分。</w:t>
      </w:r>
    </w:p>
    <w:p>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（三）项目产出情况。</w:t>
      </w:r>
    </w:p>
    <w:p>
      <w:pPr>
        <w:spacing w:line="540" w:lineRule="exact"/>
        <w:ind w:firstLine="567"/>
        <w:rPr>
          <w:rStyle w:val="17"/>
          <w:rFonts w:ascii="楷体" w:hAnsi="楷体" w:eastAsia="楷体"/>
          <w:spacing w:val="-4"/>
          <w:sz w:val="32"/>
          <w:szCs w:val="32"/>
        </w:rPr>
      </w:pPr>
      <w:r>
        <w:rPr>
          <w:rStyle w:val="17"/>
          <w:rFonts w:hint="eastAsia" w:ascii="楷体" w:hAnsi="楷体" w:eastAsia="楷体"/>
          <w:spacing w:val="-4"/>
          <w:sz w:val="32"/>
          <w:szCs w:val="32"/>
        </w:rPr>
        <w:t>项目绩效主要从项目产出的产出数量、产出质量、产出时效3个方面对项目的绩效情况进行评价。项目产出类指标分值50分，实际得分50分，得分率为100%。项目绩效指标得分情况如表所示。审计项目数量指标设定50个，2025年初计划审计项目44个，截至2025年12月底，完成审计项目51个，审计项目数量指标完成比率100%，根据评分标准，该指标15分，其余设定的产出指标完成比率均达100%。</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根据年初设定的“产出质量”指标，今年以来，全区各级审计机关累计审计（调查）142家单位，通过审计增收节支资金12.29亿元，促进拨付资金到位6.7亿元，推动建立健全规章制度173项，向纪检监察机关移送审计查出问题线索20件。同时，紧紧围绕审计查出问题，认真履行督促整改责任，持续巩固“全面整改、专项整改、重点督办”工作格局，推动审计发现问题见底清零，切实将审计整改成果转化为治理效能。</w:t>
      </w:r>
    </w:p>
    <w:p>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（四）项目效益情况。</w:t>
      </w:r>
    </w:p>
    <w:p>
      <w:pPr>
        <w:spacing w:line="540" w:lineRule="exact"/>
        <w:ind w:firstLine="567"/>
        <w:rPr>
          <w:rStyle w:val="17"/>
          <w:rFonts w:hint="eastAsia" w:ascii="楷体" w:hAnsi="楷体" w:eastAsia="楷体"/>
          <w:spacing w:val="-4"/>
          <w:sz w:val="32"/>
          <w:szCs w:val="32"/>
        </w:rPr>
      </w:pPr>
      <w:r>
        <w:rPr>
          <w:rStyle w:val="17"/>
          <w:rFonts w:hint="eastAsia" w:ascii="楷体" w:hAnsi="楷体" w:eastAsia="楷体"/>
          <w:spacing w:val="-4"/>
          <w:sz w:val="32"/>
          <w:szCs w:val="32"/>
        </w:rPr>
        <w:t>项目实施的效益分析。2025年，审计厅紧紧围绕自治区党委、人民政府中心工作，立足经济监督定位，聚焦主责主业，坚持问题导向，针对屡查屡犯、审计偏软等顽瘴痼疾，强化动真碰硬，积极推进“三类监督”贯通协同，审计查出问题金额、促进整改落实资金、促进被审计单位建立健全规章制度等指标完成值及完成率达到100%，特别是首次统一组织全区各级审计机关对财政预算编制、部门预算执行等开展审计，集中力量揭示了挤占挪用、虚增收入等一批典型问题，切实发挥了审计“查病、治已病、防未病”职能作用。</w:t>
      </w:r>
    </w:p>
    <w:p>
      <w:pPr>
        <w:spacing w:line="540" w:lineRule="exact"/>
        <w:ind w:firstLine="567"/>
        <w:rPr>
          <w:rStyle w:val="17"/>
          <w:rFonts w:hint="eastAsia" w:ascii="楷体" w:hAnsi="楷体" w:eastAsia="楷体"/>
          <w:spacing w:val="-4"/>
          <w:sz w:val="32"/>
          <w:szCs w:val="32"/>
        </w:rPr>
      </w:pPr>
      <w:r>
        <w:rPr>
          <w:rStyle w:val="17"/>
          <w:rFonts w:hint="eastAsia" w:ascii="楷体" w:hAnsi="楷体" w:eastAsia="楷体"/>
          <w:spacing w:val="-4"/>
          <w:sz w:val="32"/>
          <w:szCs w:val="32"/>
        </w:rPr>
        <w:t>一年来，自治区审计厅进一步创新审计理念和审计组织方式，强化动真碰硬，进一步提升审计工作质效，审计工作得到了自治区党委审计委员会的肯定。同时，加大预算绩效管理工作公开力度，主动接受社会各界监督，设定的满意度指标完成比率均达100%。</w:t>
      </w:r>
    </w:p>
    <w:p>
      <w:pPr>
        <w:spacing w:line="540" w:lineRule="exact"/>
        <w:ind w:firstLine="640"/>
        <w:rPr>
          <w:rStyle w:val="17"/>
          <w:rFonts w:ascii="黑体" w:hAnsi="黑体" w:eastAsia="黑体"/>
          <w:spacing w:val="-4"/>
          <w:sz w:val="32"/>
          <w:szCs w:val="32"/>
        </w:rPr>
      </w:pPr>
      <w:r>
        <w:rPr>
          <w:rStyle w:val="17"/>
          <w:rFonts w:hint="eastAsia" w:ascii="黑体" w:hAnsi="黑体" w:eastAsia="黑体"/>
          <w:b w:val="0"/>
          <w:spacing w:val="-4"/>
          <w:sz w:val="32"/>
          <w:szCs w:val="32"/>
          <w:lang w:eastAsia="zh-CN"/>
        </w:rPr>
        <w:t>五</w:t>
      </w:r>
      <w:r>
        <w:rPr>
          <w:rStyle w:val="17"/>
          <w:rFonts w:hint="eastAsia" w:ascii="黑体" w:hAnsi="黑体" w:eastAsia="黑体"/>
          <w:b w:val="0"/>
          <w:spacing w:val="-4"/>
          <w:sz w:val="32"/>
          <w:szCs w:val="32"/>
        </w:rPr>
        <w:t>、</w:t>
      </w:r>
      <w:r>
        <w:rPr>
          <w:rStyle w:val="17"/>
          <w:rFonts w:ascii="黑体" w:hAnsi="黑体" w:eastAsia="黑体"/>
          <w:b w:val="0"/>
          <w:spacing w:val="-4"/>
          <w:sz w:val="32"/>
          <w:szCs w:val="32"/>
        </w:rPr>
        <w:t>主要经验及做法、存在的问题及原因分析</w:t>
      </w:r>
    </w:p>
    <w:p>
      <w:pPr>
        <w:spacing w:line="540" w:lineRule="exact"/>
        <w:ind w:firstLine="627" w:firstLineChars="200"/>
        <w:rPr>
          <w:rStyle w:val="17"/>
          <w:rFonts w:ascii="楷体" w:hAnsi="楷体" w:eastAsia="楷体"/>
          <w:spacing w:val="-4"/>
          <w:sz w:val="32"/>
          <w:szCs w:val="32"/>
        </w:rPr>
      </w:pPr>
      <w:r>
        <w:rPr>
          <w:rStyle w:val="17"/>
          <w:rFonts w:hint="eastAsia" w:ascii="楷体" w:hAnsi="楷体" w:eastAsia="楷体"/>
          <w:spacing w:val="-4"/>
          <w:sz w:val="32"/>
          <w:szCs w:val="32"/>
        </w:rPr>
        <w:t>2025年，自治区审计厅紧紧围绕自治区党委、政府中心工作，立足经济监督定位，聚焦主责主业，深化改革创新，强化自身建设，不断提升审计监督质效，在服务保障工作大局、推动反腐治乱等方面发挥了重要作用，总体预算绩效目标完成比率达100%。截至11月底，累计审计（调查）142家单位，通过审计增收节支资金12.29亿元，促进拨付资金到位6.7亿元，推动建立健全规章制度173项，向纪检监察机关移送审计查出问题线索20件。同时，紧紧围绕审计查出问题，认真履行督促整改责任，持续巩固“全面整改、专项整改、重点督办”工作格局，推动审计发现问题见底清零，切实将审计整改成果转化为治理效能。</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2025年，自治区审计厅较好地完成了年度预算绩效目标，但在全面实施预算绩效管理工作中还存在薄弱环节，需要在今后的工作中加以研究解决。一是因审计工作特点，在设定下年度计划完成的绩效目标时，审计项目计划尚未确定，个别预期指标值设定前瞻性不够。二是审计业务经费支出的周期性特点，影响绩效监控节点绩效目标的完成比率。</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下一步，自治区审计厅将继续深入贯彻落实自治区党委、人民政府关于全面实施预算绩效管理工作的部署要求，认真履行全面实施预算绩效管理主体责任，依法全面履行审计监督职责，规范项目支出预算绩效管理结果应用，充分发挥预算绩效结果导向作用，切实提高财政资金配置效率和使用效益，不断提高预算绩效管理水平。</w:t>
      </w:r>
    </w:p>
    <w:p>
      <w:pPr>
        <w:ind w:firstLine="624" w:firstLineChars="200"/>
        <w:rPr>
          <w:rStyle w:val="17"/>
          <w:rFonts w:ascii="黑体" w:hAnsi="黑体" w:eastAsia="黑体"/>
          <w:b w:val="0"/>
          <w:spacing w:val="-4"/>
          <w:sz w:val="32"/>
          <w:szCs w:val="32"/>
        </w:rPr>
      </w:pPr>
      <w:r>
        <w:rPr>
          <w:rStyle w:val="17"/>
          <w:rFonts w:hint="eastAsia" w:ascii="黑体" w:hAnsi="黑体" w:eastAsia="黑体"/>
          <w:b w:val="0"/>
          <w:spacing w:val="-4"/>
          <w:sz w:val="32"/>
          <w:szCs w:val="32"/>
          <w:lang w:eastAsia="zh-CN"/>
        </w:rPr>
        <w:t>六</w:t>
      </w:r>
      <w:r>
        <w:rPr>
          <w:rStyle w:val="17"/>
          <w:rFonts w:ascii="黑体" w:hAnsi="黑体" w:eastAsia="黑体"/>
          <w:b w:val="0"/>
          <w:spacing w:val="-4"/>
          <w:sz w:val="32"/>
          <w:szCs w:val="32"/>
        </w:rPr>
        <w:t>、有关建议</w:t>
      </w:r>
    </w:p>
    <w:p>
      <w:pPr>
        <w:spacing w:line="540" w:lineRule="exact"/>
        <w:ind w:firstLine="627" w:firstLineChars="200"/>
        <w:rPr>
          <w:rStyle w:val="17"/>
          <w:rFonts w:ascii="楷体" w:hAnsi="楷体" w:eastAsia="楷体"/>
          <w:spacing w:val="-4"/>
          <w:sz w:val="32"/>
          <w:szCs w:val="32"/>
        </w:rPr>
      </w:pPr>
      <w:r>
        <w:rPr>
          <w:rStyle w:val="17"/>
          <w:rFonts w:hint="eastAsia" w:ascii="楷体" w:hAnsi="楷体" w:eastAsia="楷体"/>
          <w:spacing w:val="-4"/>
          <w:sz w:val="32"/>
          <w:szCs w:val="32"/>
        </w:rPr>
        <w:t>一是继续加强指导和培训力度，加强对各单位绩效评价工作的指导，使预算编制更加符合绩效评价相关要求，搞好部门间工作配合，继续开展不间断的督导指导服务，推进工作落实。</w:t>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cr/>
      </w:r>
      <w:r>
        <w:rPr>
          <w:rStyle w:val="17"/>
          <w:rFonts w:hint="eastAsia" w:ascii="楷体" w:hAnsi="楷体" w:eastAsia="楷体"/>
          <w:spacing w:val="-4"/>
          <w:sz w:val="32"/>
          <w:szCs w:val="32"/>
        </w:rPr>
        <w:br w:type="textWrapping"/>
      </w:r>
      <w:r>
        <w:rPr>
          <w:rStyle w:val="17"/>
          <w:rFonts w:hint="eastAsia" w:ascii="楷体" w:hAnsi="楷体" w:eastAsia="楷体"/>
          <w:spacing w:val="-4"/>
          <w:sz w:val="32"/>
          <w:szCs w:val="32"/>
        </w:rPr>
        <w:t>二是强化项目监督管理，充分发挥项目主管部门的监督管理作用，把好项目执行、进度、质量关，加强督促检查，实施全程监管。</w:t>
      </w:r>
    </w:p>
    <w:p>
      <w:pPr>
        <w:spacing w:line="540" w:lineRule="exact"/>
        <w:ind w:firstLine="567"/>
        <w:rPr>
          <w:rStyle w:val="17"/>
          <w:rFonts w:ascii="黑体" w:hAnsi="黑体" w:eastAsia="黑体"/>
          <w:b w:val="0"/>
          <w:spacing w:val="-4"/>
          <w:sz w:val="32"/>
          <w:szCs w:val="32"/>
        </w:rPr>
      </w:pPr>
      <w:r>
        <w:rPr>
          <w:rStyle w:val="17"/>
          <w:rFonts w:hint="eastAsia" w:ascii="黑体" w:hAnsi="黑体" w:eastAsia="黑体"/>
          <w:b w:val="0"/>
          <w:spacing w:val="-4"/>
          <w:sz w:val="32"/>
          <w:szCs w:val="32"/>
          <w:lang w:eastAsia="zh-CN"/>
        </w:rPr>
        <w:t>七</w:t>
      </w:r>
      <w:r>
        <w:rPr>
          <w:rStyle w:val="17"/>
          <w:rFonts w:hint="eastAsia" w:ascii="黑体" w:hAnsi="黑体" w:eastAsia="黑体"/>
          <w:b w:val="0"/>
          <w:spacing w:val="-4"/>
          <w:sz w:val="32"/>
          <w:szCs w:val="32"/>
        </w:rPr>
        <w:t>、其他需要说明的问题</w:t>
      </w:r>
    </w:p>
    <w:p>
      <w:pPr>
        <w:spacing w:line="540" w:lineRule="exact"/>
        <w:ind w:firstLine="627" w:firstLineChars="200"/>
        <w:rPr>
          <w:rStyle w:val="17"/>
          <w:rFonts w:ascii="楷体" w:hAnsi="楷体" w:eastAsia="楷体"/>
          <w:spacing w:val="-4"/>
          <w:sz w:val="32"/>
          <w:szCs w:val="32"/>
        </w:rPr>
      </w:pPr>
      <w:r>
        <w:rPr>
          <w:rStyle w:val="17"/>
          <w:rFonts w:hint="eastAsia" w:ascii="楷体" w:hAnsi="楷体" w:eastAsia="楷体"/>
          <w:spacing w:val="-4"/>
          <w:sz w:val="32"/>
          <w:szCs w:val="32"/>
        </w:rPr>
        <w:t>无其他需要说明的问题</w:t>
      </w: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p>
      <w:pPr>
        <w:spacing w:line="540" w:lineRule="exact"/>
        <w:ind w:firstLine="567"/>
        <w:rPr>
          <w:rStyle w:val="17"/>
          <w:rFonts w:ascii="仿宋" w:hAnsi="仿宋" w:eastAsia="仿宋"/>
          <w:b w:val="0"/>
          <w:spacing w:val="-4"/>
          <w:sz w:val="32"/>
          <w:szCs w:val="32"/>
        </w:rPr>
      </w:pP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2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pPr>
          <w:pStyle w:val="12"/>
          <w:jc w:val="center"/>
        </w:pPr>
        <w:r>
          <w:fldChar w:fldCharType="begin"/>
        </w:r>
        <w:r>
          <w:instrText xml:space="preserve">PAGE   \* MERGEFORMAT</w:instrText>
        </w:r>
        <w:r>
          <w:fldChar w:fldCharType="separate"/>
        </w:r>
        <w:r>
          <w:rPr>
            <w:lang w:val="zh-CN"/>
          </w:rPr>
          <w:t>1</w:t>
        </w:r>
        <w:r>
          <w:fldChar w:fldCharType="end"/>
        </w:r>
      </w:p>
    </w:sdtContent>
  </w:sdt>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110C4"/>
    <w:rsid w:val="00037D50"/>
    <w:rsid w:val="0005416C"/>
    <w:rsid w:val="00056465"/>
    <w:rsid w:val="001028C5"/>
    <w:rsid w:val="00102DFF"/>
    <w:rsid w:val="00121AE4"/>
    <w:rsid w:val="0014601B"/>
    <w:rsid w:val="00146AAD"/>
    <w:rsid w:val="00150F05"/>
    <w:rsid w:val="001B3A40"/>
    <w:rsid w:val="00273CCD"/>
    <w:rsid w:val="00291BC0"/>
    <w:rsid w:val="00311DBE"/>
    <w:rsid w:val="00345DD7"/>
    <w:rsid w:val="00351EFF"/>
    <w:rsid w:val="003B0577"/>
    <w:rsid w:val="003E7E58"/>
    <w:rsid w:val="003F5180"/>
    <w:rsid w:val="00414C3A"/>
    <w:rsid w:val="004366A8"/>
    <w:rsid w:val="004A05EE"/>
    <w:rsid w:val="004C38BC"/>
    <w:rsid w:val="004F1F3C"/>
    <w:rsid w:val="00502BA7"/>
    <w:rsid w:val="005162F1"/>
    <w:rsid w:val="00535153"/>
    <w:rsid w:val="00554F82"/>
    <w:rsid w:val="0056390D"/>
    <w:rsid w:val="005719B0"/>
    <w:rsid w:val="005A4F2E"/>
    <w:rsid w:val="005A5018"/>
    <w:rsid w:val="005C51DF"/>
    <w:rsid w:val="005D10D6"/>
    <w:rsid w:val="005E7C5E"/>
    <w:rsid w:val="0075584F"/>
    <w:rsid w:val="00855E3A"/>
    <w:rsid w:val="0091457F"/>
    <w:rsid w:val="00922CB9"/>
    <w:rsid w:val="00925D36"/>
    <w:rsid w:val="00944DD1"/>
    <w:rsid w:val="009E5CD9"/>
    <w:rsid w:val="009F4373"/>
    <w:rsid w:val="00A26421"/>
    <w:rsid w:val="00A34588"/>
    <w:rsid w:val="00A413B8"/>
    <w:rsid w:val="00A4293B"/>
    <w:rsid w:val="00A67D50"/>
    <w:rsid w:val="00A8691A"/>
    <w:rsid w:val="00A972DF"/>
    <w:rsid w:val="00AC1946"/>
    <w:rsid w:val="00AC3A96"/>
    <w:rsid w:val="00AD5E52"/>
    <w:rsid w:val="00AF683C"/>
    <w:rsid w:val="00B2343E"/>
    <w:rsid w:val="00B40063"/>
    <w:rsid w:val="00B41F61"/>
    <w:rsid w:val="00B74D04"/>
    <w:rsid w:val="00BA46E6"/>
    <w:rsid w:val="00BB5015"/>
    <w:rsid w:val="00C56C72"/>
    <w:rsid w:val="00C62CB9"/>
    <w:rsid w:val="00CA6457"/>
    <w:rsid w:val="00CA6DC2"/>
    <w:rsid w:val="00CD37A4"/>
    <w:rsid w:val="00CE2FD9"/>
    <w:rsid w:val="00D17F2E"/>
    <w:rsid w:val="00D30354"/>
    <w:rsid w:val="00D52B7C"/>
    <w:rsid w:val="00D80C1E"/>
    <w:rsid w:val="00DB1661"/>
    <w:rsid w:val="00DF42A0"/>
    <w:rsid w:val="00E30E91"/>
    <w:rsid w:val="00E769FE"/>
    <w:rsid w:val="00E774CE"/>
    <w:rsid w:val="00E96D03"/>
    <w:rsid w:val="00EA2CBE"/>
    <w:rsid w:val="00EB10A0"/>
    <w:rsid w:val="00F32FEE"/>
    <w:rsid w:val="00FB10BB"/>
    <w:rsid w:val="0CB44F22"/>
    <w:rsid w:val="1BDD7989"/>
    <w:rsid w:val="4C3D1751"/>
    <w:rsid w:val="4D2606A1"/>
    <w:rsid w:val="4DDA0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6">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11">
    <w:name w:val="Balloon Text"/>
    <w:basedOn w:val="1"/>
    <w:link w:val="45"/>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7">
    <w:name w:val="Strong"/>
    <w:basedOn w:val="16"/>
    <w:qFormat/>
    <w:uiPriority w:val="0"/>
    <w:rPr>
      <w:b/>
      <w:bCs/>
    </w:rPr>
  </w:style>
  <w:style w:type="character" w:styleId="18">
    <w:name w:val="Emphasis"/>
    <w:basedOn w:val="16"/>
    <w:qFormat/>
    <w:uiPriority w:val="20"/>
    <w:rPr>
      <w:rFonts w:asciiTheme="minorHAnsi" w:hAnsiTheme="minorHAnsi"/>
      <w:b/>
      <w:i/>
      <w:iCs/>
    </w:rPr>
  </w:style>
  <w:style w:type="character" w:customStyle="1" w:styleId="20">
    <w:name w:val="标题 1 字符"/>
    <w:basedOn w:val="16"/>
    <w:link w:val="2"/>
    <w:qFormat/>
    <w:uiPriority w:val="9"/>
    <w:rPr>
      <w:rFonts w:asciiTheme="majorHAnsi" w:hAnsiTheme="majorHAnsi" w:eastAsiaTheme="majorEastAsia"/>
      <w:b/>
      <w:bCs/>
      <w:kern w:val="32"/>
      <w:sz w:val="32"/>
      <w:szCs w:val="32"/>
    </w:rPr>
  </w:style>
  <w:style w:type="character" w:customStyle="1" w:styleId="21">
    <w:name w:val="标题 2 字符"/>
    <w:basedOn w:val="16"/>
    <w:link w:val="3"/>
    <w:semiHidden/>
    <w:qFormat/>
    <w:uiPriority w:val="9"/>
    <w:rPr>
      <w:rFonts w:asciiTheme="majorHAnsi" w:hAnsiTheme="majorHAnsi" w:eastAsiaTheme="majorEastAsia"/>
      <w:b/>
      <w:bCs/>
      <w:i/>
      <w:iCs/>
      <w:sz w:val="28"/>
      <w:szCs w:val="28"/>
    </w:rPr>
  </w:style>
  <w:style w:type="character" w:customStyle="1" w:styleId="22">
    <w:name w:val="标题 3 字符"/>
    <w:basedOn w:val="16"/>
    <w:link w:val="4"/>
    <w:semiHidden/>
    <w:qFormat/>
    <w:uiPriority w:val="9"/>
    <w:rPr>
      <w:rFonts w:asciiTheme="majorHAnsi" w:hAnsiTheme="majorHAnsi" w:eastAsiaTheme="majorEastAsia"/>
      <w:b/>
      <w:bCs/>
      <w:sz w:val="26"/>
      <w:szCs w:val="26"/>
    </w:rPr>
  </w:style>
  <w:style w:type="character" w:customStyle="1" w:styleId="23">
    <w:name w:val="标题 4 字符"/>
    <w:basedOn w:val="16"/>
    <w:link w:val="5"/>
    <w:qFormat/>
    <w:uiPriority w:val="9"/>
    <w:rPr>
      <w:b/>
      <w:bCs/>
      <w:sz w:val="28"/>
      <w:szCs w:val="28"/>
    </w:rPr>
  </w:style>
  <w:style w:type="character" w:customStyle="1" w:styleId="24">
    <w:name w:val="标题 5 字符"/>
    <w:basedOn w:val="16"/>
    <w:link w:val="6"/>
    <w:semiHidden/>
    <w:qFormat/>
    <w:uiPriority w:val="9"/>
    <w:rPr>
      <w:b/>
      <w:bCs/>
      <w:i/>
      <w:iCs/>
      <w:sz w:val="26"/>
      <w:szCs w:val="26"/>
    </w:rPr>
  </w:style>
  <w:style w:type="character" w:customStyle="1" w:styleId="25">
    <w:name w:val="标题 6 字符"/>
    <w:basedOn w:val="16"/>
    <w:link w:val="7"/>
    <w:semiHidden/>
    <w:qFormat/>
    <w:uiPriority w:val="9"/>
    <w:rPr>
      <w:b/>
      <w:bCs/>
    </w:rPr>
  </w:style>
  <w:style w:type="character" w:customStyle="1" w:styleId="26">
    <w:name w:val="标题 7 字符"/>
    <w:basedOn w:val="16"/>
    <w:link w:val="8"/>
    <w:semiHidden/>
    <w:qFormat/>
    <w:uiPriority w:val="9"/>
    <w:rPr>
      <w:sz w:val="24"/>
      <w:szCs w:val="24"/>
    </w:rPr>
  </w:style>
  <w:style w:type="character" w:customStyle="1" w:styleId="27">
    <w:name w:val="标题 8 字符"/>
    <w:basedOn w:val="16"/>
    <w:link w:val="9"/>
    <w:semiHidden/>
    <w:qFormat/>
    <w:uiPriority w:val="9"/>
    <w:rPr>
      <w:i/>
      <w:iCs/>
      <w:sz w:val="24"/>
      <w:szCs w:val="24"/>
    </w:rPr>
  </w:style>
  <w:style w:type="character" w:customStyle="1" w:styleId="28">
    <w:name w:val="标题 9 字符"/>
    <w:basedOn w:val="16"/>
    <w:link w:val="10"/>
    <w:semiHidden/>
    <w:qFormat/>
    <w:uiPriority w:val="9"/>
    <w:rPr>
      <w:rFonts w:asciiTheme="majorHAnsi" w:hAnsiTheme="majorHAnsi" w:eastAsiaTheme="majorEastAsia"/>
    </w:rPr>
  </w:style>
  <w:style w:type="character" w:customStyle="1" w:styleId="29">
    <w:name w:val="标题 字符"/>
    <w:basedOn w:val="16"/>
    <w:link w:val="15"/>
    <w:qFormat/>
    <w:uiPriority w:val="10"/>
    <w:rPr>
      <w:rFonts w:asciiTheme="majorHAnsi" w:hAnsiTheme="majorHAnsi" w:eastAsiaTheme="majorEastAsia"/>
      <w:b/>
      <w:bCs/>
      <w:kern w:val="28"/>
      <w:sz w:val="32"/>
      <w:szCs w:val="32"/>
    </w:rPr>
  </w:style>
  <w:style w:type="character" w:customStyle="1" w:styleId="30">
    <w:name w:val="副标题 字符"/>
    <w:basedOn w:val="16"/>
    <w:link w:val="14"/>
    <w:qFormat/>
    <w:uiPriority w:val="11"/>
    <w:rPr>
      <w:rFonts w:asciiTheme="majorHAnsi" w:hAnsiTheme="majorHAnsi" w:eastAsiaTheme="majorEastAsia"/>
      <w:sz w:val="24"/>
      <w:szCs w:val="24"/>
    </w:rPr>
  </w:style>
  <w:style w:type="paragraph" w:customStyle="1"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customStyle="1"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customStyle="1"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6"/>
    <w:link w:val="33"/>
    <w:qFormat/>
    <w:uiPriority w:val="29"/>
    <w:rPr>
      <w:i/>
      <w:sz w:val="24"/>
      <w:szCs w:val="24"/>
    </w:rPr>
  </w:style>
  <w:style w:type="paragraph" w:customStyle="1"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6"/>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6"/>
    <w:qFormat/>
    <w:uiPriority w:val="21"/>
    <w:rPr>
      <w:b/>
      <w:i/>
      <w:sz w:val="24"/>
      <w:szCs w:val="24"/>
      <w:u w:val="single"/>
    </w:rPr>
  </w:style>
  <w:style w:type="character" w:customStyle="1" w:styleId="39">
    <w:name w:val="不明显参考1"/>
    <w:basedOn w:val="16"/>
    <w:qFormat/>
    <w:uiPriority w:val="31"/>
    <w:rPr>
      <w:sz w:val="24"/>
      <w:szCs w:val="24"/>
      <w:u w:val="single"/>
    </w:rPr>
  </w:style>
  <w:style w:type="character" w:customStyle="1" w:styleId="40">
    <w:name w:val="明显参考1"/>
    <w:basedOn w:val="16"/>
    <w:qFormat/>
    <w:uiPriority w:val="32"/>
    <w:rPr>
      <w:b/>
      <w:sz w:val="24"/>
      <w:u w:val="single"/>
    </w:rPr>
  </w:style>
  <w:style w:type="character" w:customStyle="1" w:styleId="41">
    <w:name w:val="书籍标题1"/>
    <w:basedOn w:val="16"/>
    <w:qFormat/>
    <w:uiPriority w:val="33"/>
    <w:rPr>
      <w:rFonts w:asciiTheme="majorHAnsi" w:hAnsiTheme="majorHAnsi" w:eastAsiaTheme="majorEastAsia"/>
      <w:b/>
      <w:i/>
      <w:sz w:val="24"/>
      <w:szCs w:val="24"/>
    </w:rPr>
  </w:style>
  <w:style w:type="paragraph" w:customStyle="1" w:styleId="42">
    <w:name w:val="TOC 标题1"/>
    <w:basedOn w:val="2"/>
    <w:next w:val="1"/>
    <w:unhideWhenUsed/>
    <w:qFormat/>
    <w:uiPriority w:val="39"/>
    <w:pPr>
      <w:outlineLvl w:val="9"/>
    </w:pPr>
    <w:rPr>
      <w:lang w:eastAsia="en-US" w:bidi="en-US"/>
    </w:rPr>
  </w:style>
  <w:style w:type="character" w:customStyle="1" w:styleId="43">
    <w:name w:val="页眉 字符"/>
    <w:basedOn w:val="16"/>
    <w:link w:val="13"/>
    <w:qFormat/>
    <w:uiPriority w:val="99"/>
    <w:rPr>
      <w:rFonts w:ascii="Calibri" w:hAnsi="Calibri" w:eastAsia="宋体"/>
      <w:kern w:val="2"/>
      <w:sz w:val="18"/>
      <w:szCs w:val="18"/>
    </w:rPr>
  </w:style>
  <w:style w:type="character" w:customStyle="1" w:styleId="44">
    <w:name w:val="页脚 字符"/>
    <w:basedOn w:val="16"/>
    <w:link w:val="12"/>
    <w:qFormat/>
    <w:uiPriority w:val="99"/>
    <w:rPr>
      <w:rFonts w:ascii="Calibri" w:hAnsi="Calibri" w:eastAsia="宋体"/>
      <w:kern w:val="2"/>
      <w:sz w:val="18"/>
      <w:szCs w:val="18"/>
    </w:rPr>
  </w:style>
  <w:style w:type="character" w:customStyle="1" w:styleId="45">
    <w:name w:val="批注框文本 字符"/>
    <w:basedOn w:val="16"/>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113</Words>
  <Characters>648</Characters>
  <Lines>5</Lines>
  <Paragraphs>1</Paragraphs>
  <TotalTime>0</TotalTime>
  <ScaleCrop>false</ScaleCrop>
  <LinksUpToDate>false</LinksUpToDate>
  <CharactersWithSpaces>760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Administrator</cp:lastModifiedBy>
  <cp:lastPrinted>2018-12-31T10:56:00Z</cp:lastPrinted>
  <dcterms:modified xsi:type="dcterms:W3CDTF">2026-08-21T05:02:31Z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160D1BA1944349B08C48068401F6E698</vt:lpwstr>
  </property>
</Properties>
</file>