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32"/>
          <w:szCs w:val="32"/>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宋体" w:eastAsia="黑体"/>
          <w:sz w:val="44"/>
          <w:szCs w:val="44"/>
        </w:rPr>
      </w:pPr>
      <w:r>
        <w:rPr>
          <w:rFonts w:ascii="宋体" w:eastAsia="黑体"/>
          <w:b w:val="0"/>
          <w:sz w:val="44"/>
          <w:szCs w:val="44"/>
        </w:rPr>
        <w:t>新疆维吾尔自治区审计厅机关服务中心</w:t>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sz w:val="44"/>
          <w:szCs w:val="44"/>
        </w:rPr>
      </w:pPr>
      <w:r>
        <w:rPr>
          <w:rFonts w:ascii="黑体" w:eastAsia="黑体"/>
          <w:b w:val="0"/>
          <w:sz w:val="44"/>
          <w:szCs w:val="44"/>
        </w:rPr>
        <w:t>2025年度部门决算公开说明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center"/>
        <w:textAlignment w:val="auto"/>
        <w:rPr>
          <w:rFonts w:ascii="黑体" w:eastAsia="黑体"/>
          <w:sz w:val="32"/>
          <w:szCs w:val="32"/>
        </w:rPr>
      </w:pPr>
      <w:r>
        <w:rPr>
          <w:rFonts w:ascii="黑体" w:eastAsia="黑体"/>
          <w:b/>
          <w:sz w:val="32"/>
          <w:szCs w:val="32"/>
        </w:rPr>
        <w:t>目 录</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第一部分单位概况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一、主要职能</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二、机构设置</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第二部分 部门决算情况说明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（一）一般公共预算财政拨款支出决算总体情况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（二）一般公共预算财政拨款支出决算结构情况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（三）一般公共预算财政拨款支出决算具体情况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九、财政拨款“三公”经费支出决算情况说明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（一）机关运行经费及公用经费支出情况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（二）政府采购情况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（三）国有资产占用情况说明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十一、预算绩效的情况说明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十二、其他需说明的事项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第三部分 专业名词解释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第四部分 部门决算报表（见附表）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二、《收入决算表》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六、《一般公共预算财政拨款基本支出决算表》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九、《财政拨款“三公”经费支出决算表》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b w:val="0"/>
          <w:sz w:val="32"/>
          <w:szCs w:val="32"/>
        </w:rPr>
      </w:pPr>
      <w:r>
        <w:rPr>
          <w:rFonts w:ascii="黑体" w:eastAsia="黑体"/>
          <w:b w:val="0"/>
          <w:sz w:val="32"/>
          <w:szCs w:val="32"/>
        </w:rPr>
        <w:t>第一部分</w:t>
      </w:r>
      <w:r>
        <w:rPr>
          <w:rFonts w:hint="eastAsia" w:ascii="黑体" w:eastAsia="黑体"/>
          <w:b w:val="0"/>
          <w:sz w:val="32"/>
          <w:szCs w:val="32"/>
          <w:lang w:val="en-US" w:eastAsia="zh-CN"/>
        </w:rPr>
        <w:t xml:space="preserve"> </w:t>
      </w:r>
      <w:r>
        <w:rPr>
          <w:rFonts w:ascii="黑体" w:eastAsia="黑体"/>
          <w:b w:val="0"/>
          <w:sz w:val="32"/>
          <w:szCs w:val="32"/>
        </w:rPr>
        <w:t>单位概况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一、主要职能</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仿宋_GB2312" w:eastAsia="仿宋_GB2312"/>
          <w:b w:val="0"/>
          <w:sz w:val="32"/>
          <w:szCs w:val="32"/>
        </w:rPr>
        <w:t>负责厅机关的后勤服务，负责办公楼及住宅楼内消防、水、电、暖、维修、安全、保卫、卫生管理等工作，承担厅机关综合治理，为机关办公与职工生活提供后勤服务保障工作。同时，肩负着厅办公楼、中山路办公楼的管理及厅房产、消防安全、社会治安、综合治理、庭院绿化等工作。</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二、机构设置</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仿宋_GB2312" w:eastAsia="仿宋_GB2312"/>
          <w:b w:val="0"/>
          <w:sz w:val="32"/>
          <w:szCs w:val="32"/>
        </w:rPr>
        <w:t>新疆维吾尔自治区审计厅机关服务中心无下属预算单位。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b w:val="0"/>
          <w:sz w:val="32"/>
          <w:szCs w:val="32"/>
        </w:rPr>
      </w:pPr>
      <w:r>
        <w:rPr>
          <w:rFonts w:ascii="黑体" w:eastAsia="黑体"/>
          <w:b w:val="0"/>
          <w:sz w:val="32"/>
          <w:szCs w:val="32"/>
        </w:rPr>
        <w:t>第二部分 部门决算情况说明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sz w:val="32"/>
          <w:szCs w:val="32"/>
        </w:rPr>
      </w:pPr>
      <w:r>
        <w:rPr>
          <w:rFonts w:ascii="Times New Roman" w:hAnsi="Times New Roman" w:eastAsia="仿宋_GB2312"/>
          <w:b w:val="0"/>
          <w:sz w:val="32"/>
          <w:szCs w:val="32"/>
        </w:rPr>
        <w:t>2025年度收入总计440.28万元，其中：本年收入合计440.09万元，使用非财政拨款结余（含专用结余）0.00万元，年初结转和结余0.19万元。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sz w:val="32"/>
          <w:szCs w:val="32"/>
        </w:rPr>
      </w:pPr>
      <w:r>
        <w:rPr>
          <w:rFonts w:ascii="Times New Roman" w:hAnsi="Times New Roman" w:eastAsia="仿宋_GB2312"/>
          <w:b w:val="0"/>
          <w:sz w:val="32"/>
          <w:szCs w:val="32"/>
        </w:rPr>
        <w:t>2025年度支出总计440.28万元，其中：本年支出合计440.16万元，结余分配0.00万元，年末结转和结余0.12万元。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sz w:val="32"/>
          <w:szCs w:val="32"/>
        </w:rPr>
      </w:pPr>
      <w:r>
        <w:rPr>
          <w:rFonts w:ascii="Times New Roman" w:hAnsi="Times New Roman" w:eastAsia="仿宋_GB2312"/>
          <w:b w:val="0"/>
          <w:sz w:val="32"/>
          <w:szCs w:val="32"/>
        </w:rPr>
        <w:t>收入支出总体与上年相比，增加18.91万元，增长4.49%，主要原因是：人员职级晋升和工资调增。</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本年收入440.09万元，其中：财政拨款收入440.07万元,占100.00%；上级补助收入0.00万元,占0.00%；事业收入0.00万元，占0.00%；经营收入0.00万元,占0.00%；附属单位上缴收入0.00万元，占0.00%；其他收入0.02万元，占0.00%。</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本年支出440.16万元，其中：基本支出440.16万元，占100.00%；项目支出0.00万元，占0.00%；上缴上级支出0.00万元，占0.00%；经营支出0.00万元，占0.00%；对附属单位补助支出0.00万元，占0.00%。</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2025年度财政拨款收入总计440.07万元，其中：年初财政拨款结转和结余0.00万元，本年财政拨款收入440.07万元。财政拨款支出总计440.07万元，其中：年末财政拨款结转和结余0.00万元，本年财政拨款支出440.07万元。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财政拨款收入支出总体与上年相比，增加19.13万元，增长4.54%，主要原因是：人员职级晋升和工资调增。与年初预算相比，年初预算数409.00万元，决算数440.07万元，预决算差异率7.60%，主要原因是：年中追加人员年终绩效奖金。</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按照党中央、国务院关于党政机关习惯过紧日子的有关要求，厉行节约办一切事业，严控一般性支出。同时坚持有保有压，优化支出结构，提高资金使用效率，合理保障机关基本运转、后勤服务工作、公务运行安全等重点支出，体现在有关支出科目中。</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按照支出功能分类，一般公共服务支出（类）审计事务（款）机关服务（项）的支出占本年财政拨款支出总额的比重最高，2025年度决算数为279.41万元，占比63.49%，主要用于</w:t>
      </w:r>
      <w:r>
        <w:rPr>
          <w:rFonts w:hint="eastAsia" w:ascii="Times New Roman" w:hAnsi="Times New Roman" w:eastAsia="仿宋_GB2312"/>
          <w:b w:val="0"/>
          <w:sz w:val="32"/>
          <w:szCs w:val="32"/>
          <w:lang w:eastAsia="zh-CN"/>
        </w:rPr>
        <w:t>人员工资和公用经费</w:t>
      </w:r>
      <w:r>
        <w:rPr>
          <w:rFonts w:ascii="Times New Roman" w:hAnsi="Times New Roman"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（一）一般公共预算财政拨款支出决算总体情况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Times New Roman" w:hAnsi="Times New Roman" w:eastAsia="仿宋_GB2312"/>
          <w:b w:val="0"/>
          <w:sz w:val="32"/>
          <w:szCs w:val="32"/>
        </w:rPr>
        <w:t>2025年度一般公共预算财政拨款支出440.07万元，占本年支出合计的99.98%。与上年相比，增加19.13万元，增长4.54%，主要原因是：人员职级晋升和工资调增。与年初预算相比，年初预算数409.00万元，决算数440.07万元，预决算差异率7.60%，主要原因是：年中追加人员年终绩效奖金。</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（二）一般公共预算财政拨款支出决算结构情况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1.一般公共服务支出（类）279.41万元，占63.49%。</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2.社会保障和就业支出（类）97.20万元，占22.09%。</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3.卫生健康支出（类）36.80万元，占8.36%。</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4.住房保障支出（类）26.66万元，占6.06%。</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outlineLvl w:val="2"/>
        <w:rPr>
          <w:rFonts w:ascii="黑体" w:eastAsia="黑体"/>
          <w:sz w:val="32"/>
          <w:szCs w:val="32"/>
        </w:rPr>
      </w:pPr>
      <w:r>
        <w:rPr>
          <w:rFonts w:hint="eastAsia" w:ascii="楷体_GB2312" w:hAnsi="楷体_GB2312" w:eastAsia="楷体_GB2312" w:cs="楷体_GB2312"/>
          <w:b/>
          <w:bCs/>
          <w:sz w:val="32"/>
          <w:szCs w:val="32"/>
        </w:rPr>
        <w:t>（三）一般公共预算财政拨款支出决算具体情况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1、一般公共服务支出（类）审计事务（款）机关服务（项）：支出决算数为279.41万元，比上年决算减少17.32万元，下降5.84%，主要原因是：退休1人，在职人员经费减少。</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2、社会保障和就业支出（类）行政事业单位养老支出（款）事业单位离退休（项）：支出决算数为30.98万元，比上年决算增加3.56万元，增长12.98%，主要原因是：退休1人，退休人员经费增加。</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3、社会保障和就业支出（类）行政事业单位养老支出（款）机关事业单位基本养老保险缴费支出（项）：支出决算数为33.14万元，比上年决算减少3.30万元，下降9.06%，主要原因是：退休1人，在职人员经费减少。</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4、社会保障和就业支出（类）行政事业单位养老支出（款）机关事业单位职业年金缴费支出（项）：支出决算数为33.08万元，比上年决算增加33.08万元，增长100.00%，主要原因是：年中追加2025年退休人员和2024</w:t>
      </w:r>
      <w:r>
        <w:rPr>
          <w:rFonts w:hint="eastAsia" w:ascii="Times New Roman" w:hAnsi="Times New Roman" w:eastAsia="仿宋_GB2312"/>
          <w:b w:val="0"/>
          <w:sz w:val="32"/>
          <w:szCs w:val="32"/>
          <w:lang w:eastAsia="zh-CN"/>
        </w:rPr>
        <w:t>年</w:t>
      </w:r>
      <w:r>
        <w:rPr>
          <w:rFonts w:ascii="Times New Roman" w:hAnsi="Times New Roman" w:eastAsia="仿宋_GB2312"/>
          <w:b w:val="0"/>
          <w:sz w:val="32"/>
          <w:szCs w:val="32"/>
        </w:rPr>
        <w:t>四季度退休人员职业年金</w:t>
      </w:r>
      <w:r>
        <w:rPr>
          <w:rFonts w:hint="eastAsia" w:ascii="Times New Roman" w:hAnsi="Times New Roman" w:eastAsia="仿宋_GB2312"/>
          <w:b w:val="0"/>
          <w:sz w:val="32"/>
          <w:szCs w:val="32"/>
          <w:lang w:eastAsia="zh-CN"/>
        </w:rPr>
        <w:t>记</w:t>
      </w:r>
      <w:r>
        <w:rPr>
          <w:rFonts w:ascii="Times New Roman" w:hAnsi="Times New Roman" w:eastAsia="仿宋_GB2312"/>
          <w:b w:val="0"/>
          <w:sz w:val="32"/>
          <w:szCs w:val="32"/>
        </w:rPr>
        <w:t>实，上年度无此</w:t>
      </w:r>
      <w:r>
        <w:rPr>
          <w:rFonts w:hint="eastAsia" w:ascii="Times New Roman" w:hAnsi="Times New Roman" w:eastAsia="仿宋_GB2312"/>
          <w:b w:val="0"/>
          <w:sz w:val="32"/>
          <w:szCs w:val="32"/>
          <w:lang w:eastAsia="zh-CN"/>
        </w:rPr>
        <w:t>支出</w:t>
      </w:r>
      <w:r>
        <w:rPr>
          <w:rFonts w:ascii="Times New Roman" w:hAnsi="Times New Roman"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5、卫生健康支出（类）行政事业单位医疗（款）事业单位医疗（项）：支出决算数为21.00万元，比上年决算增加3.92万元，增长22.95%，主要原因是：在职人员医疗保险缴费基数提升。</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6、卫生健康支出（类）行政事业单位医疗（款）公务员医疗补助（项）：支出决算数为15.80万元，比上年决算减少0.14万元，下降0.88%，主要原因是：退休1人，支出减少。</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7、住房保障支出（类）住房改革支出（款）住房公积金（项）：支出决算数为26.66万元，比上年决算减少0.67万元，下降2.45%，主要原因是：退休1人，支出减少。</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一般公共预算财政拨款基本支出440.07万元，其中：人员经费405.74万元，包括：基本工资、津贴补贴、奖金、绩效工资、机关事业单位基本养老保险缴费、职业年金缴费、职工基本医疗保险缴费、公务员医疗补助缴费、其他社会保障缴费、住房公积金、其他工资福利支出、退休费、抚恤金和奖励金。</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公用经费34.33万元，包括：办公费、水费、电费、邮电费、工会经费、福利费和其他商品和服务支出。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七、政府性基金预算财政拨款收入支出决算情况说明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本单位本年度无政府性基金预算财政拨款收入、支出及结转和结余，政府性基金预算财政拨款收入支出决算表为空表。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八、国有资本经营预算财政拨款收入支出决算情况说明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本单位本年度无国有资本经营预算财政拨款收入、支出及结转和结余，国有资本经营预算财政拨款收入支出决算表为空表。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九、财政拨款“三公”经费支出决算情况说明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财政拨款“三公”经费支出0.00万元，与上年相比无变化，主要原因是：我单位本年度和上年度均未安排“三公”经费支出。其中：因公出国（境）费用支出0.00万元,占0.00%，与上年相比无变化，主要原因是：我单位本年度和上年度均未安排因公出国（境）费用支出；公务用车购置及运行维护费支出0.00万元，占0.00%，与上年相比无变化，主要原因是：我单位本年度和上年度均未安排公务用车购置及运行维护费支出；公务接待费支出0.00万元，占0.00%，与上年相比无变化，主要原因是：我单位本年度和上年度均未安排公务接待费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具体情况如下：</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因公出国（境）费用0.00万元，开支内容包括</w:t>
      </w:r>
      <w:r>
        <w:rPr>
          <w:rFonts w:hint="eastAsia" w:ascii="Times New Roman" w:hAnsi="Times New Roman" w:eastAsia="仿宋_GB2312"/>
          <w:b w:val="0"/>
          <w:sz w:val="32"/>
          <w:szCs w:val="32"/>
          <w:lang w:eastAsia="zh-CN"/>
        </w:rPr>
        <w:t>：本单位无</w:t>
      </w:r>
      <w:r>
        <w:rPr>
          <w:rFonts w:ascii="Times New Roman" w:hAnsi="Times New Roman" w:eastAsia="仿宋_GB2312"/>
          <w:b w:val="0"/>
          <w:sz w:val="32"/>
          <w:szCs w:val="32"/>
        </w:rPr>
        <w:t>因公出国（境）费用</w:t>
      </w:r>
      <w:r>
        <w:rPr>
          <w:rFonts w:hint="eastAsia" w:ascii="Times New Roman" w:hAnsi="Times New Roman" w:eastAsia="仿宋_GB2312"/>
          <w:b w:val="0"/>
          <w:sz w:val="32"/>
          <w:szCs w:val="32"/>
          <w:lang w:eastAsia="zh-CN"/>
        </w:rPr>
        <w:t>支出</w:t>
      </w:r>
      <w:r>
        <w:rPr>
          <w:rFonts w:ascii="Times New Roman" w:hAnsi="Times New Roman" w:eastAsia="仿宋_GB2312"/>
          <w:b w:val="0"/>
          <w:sz w:val="32"/>
          <w:szCs w:val="32"/>
        </w:rPr>
        <w:t>。单位全年安排的因公出国（境）团组0个，因公出国（境）0人次。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公务用车购置及运行维护费0.00万元，其中：公务用车购置费0.00万元，公务用车运行维护费0.00万元。公务用车运行维护费开支内容包括无。公务用车购置数0辆，公务用车保有量0辆。国有资产占用情况中固定资产车辆0辆，与公务用车保有量差异原因是：无。</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公务接待费0.00万元，开支内容包括无。单位全年安排的国内公务接待0批次，0人次。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与全年预算相比，财政拨款“三公”经费支出全年预算数0.00万元，决算数0.00万元，预决算差异率0.00%，主要原因是：我单位本年度未安排“三公”经费支出。其中：因公出国（境）费用全年预算数0.00万元，决算数0.00万元，预决算差异率0.00%，主要原因是：我单位本年度未安排因公出国（境）费用支出；公务用车购置费全年预算数0.00万元，决算数0.00万元，预决算差异率0.00%，主要原因是：我单位本年度未安排公务用车购置费支出；公务用车运行维护费全年预算数0.00万元，决算数0.00万元，预决算差异率0.00%，主要原因是：我单位本年度未安排公务用车运行维护费支出；公务接待费全年预算数0.00万元，决算数0.00万元，预决算差异率0.00%，主要原因是：我单位本年度未安排公务接待费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（一）机关运行经费及公用经费支出情况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2025年度新疆维吾尔自治区审计厅机关服务中心（事业单位）公用经费支出34.33万元，比上年增加2.01万元，增长6.22%，主要原因是：办公区部分设施设备使用年限较长，日常维护维修费用略有上升。</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（二）政府采购情况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2025年度政府采购支出总额8.00万元，其中：政府采购货物支出8.00万元、政府采购工程支出0.00万元、政府采购服务支出0.00万元。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授予中小企业合同金额4.00万元，占政府采购支出总额的50.00%，其中：授予小微企业合同金额4.00万元，占政府采购支出总额的50.00%。</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（三）国有资产占用情况说明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截至2025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无其他用车;单价100万元（含）以上设备（不含车辆）0台（套）。</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十一、预算绩效的情况说明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Times New Roman" w:hAnsi="Times New Roman" w:eastAsia="仿宋_GB2312"/>
          <w:b w:val="0"/>
          <w:sz w:val="32"/>
          <w:szCs w:val="32"/>
        </w:rPr>
        <w:t>根据预算绩效管理要求，本单位2025年度预算绩效</w:t>
      </w:r>
      <w:r>
        <w:rPr>
          <w:rFonts w:hint="eastAsia" w:ascii="Times New Roman" w:hAnsi="Times New Roman" w:eastAsia="仿宋_GB2312"/>
          <w:b w:val="0"/>
          <w:sz w:val="32"/>
          <w:szCs w:val="32"/>
          <w:lang w:eastAsia="zh-CN"/>
        </w:rPr>
        <w:t>评价项目</w:t>
      </w:r>
      <w:r>
        <w:rPr>
          <w:rFonts w:hint="eastAsia" w:ascii="Times New Roman" w:hAnsi="Times New Roman" w:eastAsia="仿宋_GB2312"/>
          <w:b w:val="0"/>
          <w:sz w:val="32"/>
          <w:szCs w:val="32"/>
          <w:lang w:val="en-US" w:eastAsia="zh-CN"/>
        </w:rPr>
        <w:t>0</w:t>
      </w:r>
      <w:r>
        <w:rPr>
          <w:rFonts w:ascii="Times New Roman" w:hAnsi="Times New Roman" w:eastAsia="仿宋_GB2312"/>
          <w:b w:val="0"/>
          <w:sz w:val="32"/>
          <w:szCs w:val="32"/>
        </w:rPr>
        <w:t>个，全年预算数0万元，全年执行数0万元。预算绩效管理取得的成效：我单位无项目支出，仅涉及基本支出，故没有对项目进行自评。发现的问题及原因：我单位无项目支出，仅涉及基本支出，故没有对项目进行自评。下一步改进措施：我单位无项目支出，仅涉及基本支出，故没有对项目进行自评。</w:t>
      </w:r>
      <w:bookmarkStart w:id="0" w:name="_GoBack"/>
      <w:bookmarkEnd w:id="0"/>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十二、其他需说明的事项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仿宋_GB2312" w:eastAsia="仿宋_GB2312"/>
          <w:b w:val="0"/>
          <w:sz w:val="32"/>
          <w:szCs w:val="32"/>
        </w:rPr>
        <w:t>本单位无其他需说明的事项。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rPr>
          <w:rFonts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b w:val="0"/>
          <w:sz w:val="32"/>
          <w:szCs w:val="32"/>
        </w:rPr>
      </w:pPr>
      <w:r>
        <w:rPr>
          <w:rFonts w:ascii="黑体" w:eastAsia="黑体"/>
          <w:b w:val="0"/>
          <w:sz w:val="32"/>
          <w:szCs w:val="32"/>
        </w:rPr>
        <w:t>第三部分 专业名词解释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Times New Roman" w:hAnsi="Times New Roman" w:eastAsia="仿宋_GB2312"/>
          <w:b w:val="0"/>
          <w:sz w:val="32"/>
          <w:szCs w:val="32"/>
        </w:rPr>
      </w:pPr>
      <w:r>
        <w:rPr>
          <w:rFonts w:ascii="仿宋_GB2312" w:eastAsia="仿宋_GB2312"/>
          <w:b/>
          <w:sz w:val="32"/>
          <w:szCs w:val="32"/>
        </w:rPr>
        <w:t>一、财政拨款收入：</w:t>
      </w:r>
      <w:r>
        <w:rPr>
          <w:rFonts w:ascii="Times New Roman" w:hAnsi="Times New Roman" w:eastAsia="仿宋_GB2312"/>
          <w:b w:val="0"/>
          <w:sz w:val="32"/>
          <w:szCs w:val="32"/>
        </w:rPr>
        <w:t>指单位本年度从同级财政部门取得的财政拨款，包括一般公共预算财政拨款、政府性基金预算财政拨款和国有资本经营预算财政拨款。</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指事业单位开展专业业务活动及其辅助活动取得的收入。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指事业单位附属独立核算单位按照有关规定上缴的收入。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Times New Roman" w:hAnsi="Times New Roman" w:eastAsia="仿宋_GB2312"/>
          <w:b w:val="0"/>
          <w:sz w:val="32"/>
          <w:szCs w:val="32"/>
        </w:rPr>
      </w:pPr>
      <w:r>
        <w:rPr>
          <w:rFonts w:ascii="仿宋_GB2312" w:eastAsia="仿宋_GB2312"/>
          <w:b/>
          <w:sz w:val="32"/>
          <w:szCs w:val="32"/>
        </w:rPr>
        <w:t>六、其他收入：</w:t>
      </w:r>
      <w:r>
        <w:rPr>
          <w:rFonts w:ascii="Times New Roman" w:hAnsi="Times New Roman" w:eastAsia="仿宋_GB2312"/>
          <w:b w:val="0"/>
          <w:sz w:val="32"/>
          <w:szCs w:val="32"/>
        </w:rPr>
        <w:t>指单位取得的除上述</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财政拨款收入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“上级补助收入”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事业收入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经营收入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附属单位上缴收入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以外的各项收入。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指单位上年结转本年使用的基本支出结转、项目支出结转和结余、经营结余。</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八、使用非财政拨款结余（含专用结余）：</w:t>
      </w:r>
      <w:r>
        <w:rPr>
          <w:rFonts w:ascii="仿宋_GB2312" w:eastAsia="仿宋_GB2312"/>
          <w:b w:val="0"/>
          <w:sz w:val="32"/>
          <w:szCs w:val="32"/>
        </w:rPr>
        <w:t>指单位按照预算管理要求使用非财政拨款结余弥补收支差额的金额，以及使用专用结余安排支出的金额。</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九、结余分配</w:t>
      </w:r>
      <w:r>
        <w:rPr>
          <w:rFonts w:ascii="仿宋_GB2312" w:eastAsia="仿宋_GB2312"/>
          <w:b w:val="0"/>
          <w:sz w:val="32"/>
          <w:szCs w:val="32"/>
        </w:rPr>
        <w:t>：指单位缴纳企业所得税以及从非财政拨款结余或经营结余中提取各类结余的情况。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十、年末结转和结余</w:t>
      </w:r>
      <w:r>
        <w:rPr>
          <w:rFonts w:ascii="仿宋_GB2312" w:eastAsia="仿宋_GB2312"/>
          <w:b w:val="0"/>
          <w:sz w:val="32"/>
          <w:szCs w:val="32"/>
        </w:rPr>
        <w:t>：指单位结转下年的基本支出结转、项目支出结转和结余、经营结余。</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十一、基本支出</w:t>
      </w:r>
      <w:r>
        <w:rPr>
          <w:rFonts w:ascii="仿宋_GB2312" w:eastAsia="仿宋_GB2312"/>
          <w:b w:val="0"/>
          <w:sz w:val="32"/>
          <w:szCs w:val="32"/>
        </w:rPr>
        <w:t>：指单位为保障机构正常运转、完成日常工作任务而发生的各项支出。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十二、项目支出：</w:t>
      </w:r>
      <w:r>
        <w:rPr>
          <w:rFonts w:ascii="仿宋_GB2312" w:eastAsia="仿宋_GB2312"/>
          <w:b w:val="0"/>
          <w:sz w:val="32"/>
          <w:szCs w:val="32"/>
        </w:rPr>
        <w:t>指单位为完成特定的行政工作任务或事业发展目标，在基本支出之外发生的各项支出。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十三、上缴上级支出：</w:t>
      </w:r>
      <w:r>
        <w:rPr>
          <w:rFonts w:ascii="仿宋_GB2312" w:eastAsia="仿宋_GB2312"/>
          <w:b w:val="0"/>
          <w:sz w:val="32"/>
          <w:szCs w:val="32"/>
        </w:rPr>
        <w:t>指事业单位按照财政部门和主管部门的规定上缴上级单位的支出。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十四、经营支出：</w:t>
      </w:r>
      <w:r>
        <w:rPr>
          <w:rFonts w:ascii="仿宋_GB2312" w:eastAsia="仿宋_GB2312"/>
          <w:b w:val="0"/>
          <w:sz w:val="32"/>
          <w:szCs w:val="32"/>
        </w:rPr>
        <w:t>指事业单位在专业活动及辅助活动之外开展非独立核算经营活动发生的支出。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宋体" w:eastAsia="仿宋_GB2312"/>
          <w:sz w:val="32"/>
          <w:szCs w:val="32"/>
        </w:rPr>
      </w:pPr>
      <w:r>
        <w:rPr>
          <w:rFonts w:ascii="宋体" w:eastAsia="仿宋_GB2312"/>
          <w:b/>
          <w:sz w:val="32"/>
          <w:szCs w:val="32"/>
        </w:rPr>
        <w:t>十五、对附属单位补助支出：</w:t>
      </w:r>
      <w:r>
        <w:rPr>
          <w:rFonts w:ascii="宋体" w:eastAsia="仿宋_GB2312"/>
          <w:b w:val="0"/>
          <w:sz w:val="32"/>
          <w:szCs w:val="32"/>
        </w:rPr>
        <w:t>指事业单位用财政补助收入之外的收入对附属单位补助发生的支出。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Times New Roman" w:hAnsi="Times New Roman" w:eastAsia="仿宋_GB2312"/>
          <w:b w:val="0"/>
          <w:sz w:val="32"/>
          <w:szCs w:val="32"/>
        </w:rPr>
      </w:pPr>
      <w:r>
        <w:rPr>
          <w:rFonts w:ascii="仿宋_GB2312" w:eastAsia="仿宋_GB2312"/>
          <w:b/>
          <w:sz w:val="32"/>
          <w:szCs w:val="32"/>
        </w:rPr>
        <w:t>十六、“三公”经费：</w:t>
      </w:r>
      <w:r>
        <w:rPr>
          <w:rFonts w:ascii="Times New Roman" w:hAnsi="Times New Roman" w:eastAsia="仿宋_GB2312"/>
          <w:b w:val="0"/>
          <w:sz w:val="32"/>
          <w:szCs w:val="32"/>
        </w:rPr>
        <w:t>指单位使用财政拨款安排的因公出国（境）费用、公务用车购置及运行维护费和公务接待费。其中，因公出国（境）费用反映单位公务出国（境）的国际旅费、国外城市间交通费、住宿费、伙食费、培训费、公杂费等支出；公务用车购置费反映公务用车购置支出（含车辆购置税、牌照费）；公务用车运行维护费反映单位按规定保留的公务用车燃料费、新能源汽车充电费、维修费、过路过桥费、保险费、安全奖励费用等支出；公务接待费反映单位按规定开支的各类公务接待（含外宾接待）费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十七、机关运行经费：</w:t>
      </w:r>
      <w:r>
        <w:rPr>
          <w:rFonts w:ascii="仿宋_GB2312" w:eastAsia="仿宋_GB2312"/>
          <w:b w:val="0"/>
          <w:sz w:val="32"/>
          <w:szCs w:val="32"/>
        </w:rPr>
        <w:t>指行政单位和参照公务员法管理的事业单位财政拨款基本支出中的公用经费支出。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sz w:val="32"/>
          <w:szCs w:val="32"/>
        </w:rPr>
      </w:pPr>
      <w:r>
        <w:rPr>
          <w:rFonts w:ascii="黑体" w:eastAsia="黑体"/>
          <w:b w:val="0"/>
          <w:sz w:val="32"/>
          <w:szCs w:val="32"/>
        </w:rPr>
        <w:t>第四部分 部门决算报表（见附表）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二、《收入决算表》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三、《支出决算表》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六、《一般公共预算财政拨款基本支出决算表》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七、《政府性基金预算财政拨款收入支出决算表》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2098" w:right="1474" w:bottom="1984" w:left="1587"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compat>
    <w:useFELayout/>
    <w:splitPgBreakAndParaMark/>
    <w:compatSetting w:name="compatibilityMode" w:uri="http://schemas.microsoft.com/office/word" w:val="12"/>
  </w:compat>
  <w:rsids>
    <w:rsidRoot w:val="00000000"/>
    <w:rsid w:val="0D70387C"/>
    <w:rsid w:val="11782BF7"/>
    <w:rsid w:val="12AE004A"/>
    <w:rsid w:val="1A8807AA"/>
    <w:rsid w:val="1D170D42"/>
    <w:rsid w:val="36633EC5"/>
    <w:rsid w:val="3BC01023"/>
    <w:rsid w:val="45BB21BA"/>
    <w:rsid w:val="4F156490"/>
    <w:rsid w:val="75EF1C37"/>
    <w:rsid w:val="7F2317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Office_10.8.0.6501_F1E327BC-269C-435d-A152-05C5408002CA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2026-08-20T09:23:00Z</dcterms:created>
  <dc:creator>Administrator</dc:creator>
  <cp:lastModifiedBy>Administrator</cp:lastModifiedBy>
  <dcterms:modified xsi:type="dcterms:W3CDTF">2026-08-25T02:48:04Z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