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审计业务经费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新疆维吾尔自治区审计厅</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新疆维吾尔自治区审计厅</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代琦</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2023年03月16日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xml:space="preserve">1.立项依据及项目背景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根据《中华人民共和国审计法》《国务院关于加强审计工作意见》《中共中央办公厅 国务院办公厅关于印发&lt;党政主要领导干部和国有企业领导人员经济责任审计规定&gt;的通知》《关于切实保证地方审计机关经费问题的意见》《审计署关于印发进一步推进审计信息化建设指导意见的通知》《新疆维吾尔自治区审计厅审计组廉政责任规定》《自治区党政机关事业单位工作人员差旅费管理办法》，自治区“访惠聚”驻村工作领导小组办公室印发的《关于认真贯彻自治区党委部署要要求持续用力推进“访惠聚”驻村工作的通知》和《自治区审计厅外勤经费管理办法》《自治区审计厅审计项目工作量核定办法》等法规、制度、意见精神，为保证圆满完成自治区人民政府批准的年度审计项目计划，更好地为党委和政府宏观决策提供依据。 以习近平新时代中国特色社会主义思想为指导，深入贯彻党的二十大精神，贯彻落实第三次中央新疆工作座谈会精神、特别是习近平总书记关于新疆工作和审计工作的重要讲话和重要指示批示精神，坚持以党和国家工作大局作为审计工作的着力点，把握新疆高质量发展主题，紧紧围绕《自治区国民经济和社会发展第十四个五年规划和2035年远景目标纲要》明确的重点任务和自治区2022年经济工作部署，坚持党的工作重点抓什么，审计就审什么，将党对审计工作集中统一领导的各项要求贯彻落实到新发展阶段新疆审计工作的全过程各方面，重点加大对创新驱动发展、“十大产业”、全面深化改革、丝绸之路经济带核心区建设、防范化解重大风险、“十项惠民工程”、巩固拓展脱贫攻坚成果同乡村振兴有效衔接、重点投资项目等国家及自治区重大政策措施落实情况的审计力度。进一步完善审计制度机制，依法全面履行审计监督职责，做好常态化“经济体检”工作，做到应审尽审、凡审必严，切实推动治理、服务发展、维护安全，确保审计监督更加有力、更加有效。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2.主要内容：年初对项目进行分解，由各业务部门作为项目实施主体，涉及主要业务有政府投资审计项目委托业务、本级预算执行审计、重大政策跟踪审计、社保审计、保障房审计、地理信息服务、信息化建设等各项业务工作。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3.3.项目实施情况：坚持围绕中心、服务大局，聚焦“五个精准发力”，依法履职尽责，为全区经济社会高质量发展保驾护航。全区审计机关共完成审计项目1309个（其中：厅本级45个），查出主要问题金额2734.99亿元；移送处理事项115件，移送处理人员22人；厅机关提交审计信息289篇，被自治区党委、政府和审计署批示采用61篇；5个审计案例被审计署采用，由审计署形成的综合报告被中央领导批示。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一）紧盯政策落实，推动政令畅通。根据中央及自治区工作部署，对财政直达资金、优化营商环境、职业教育等重大政策开展跟踪审计。揭示资金下达支付不及时、拖欠民营企业中小企业账款、违规收费或乱摊派、职业学校规划布局不合理等突出问题，查出问题金额113.56亿元，移送线索1条，督促相关单位加快资金支付进度、规范管理使用及清理拖欠市场主体等各类资金19.7亿元，完善规章制度38项，追责问责1人，有效推动中央及自治区重大决策部署落地见效。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二）紧盯财政管理，促进提质增效。以增强预算执行和财政收支的真实性、合法性和效益性为目标，对113个自治区本级一级预算单位2021年度预算执行和14个地（州、市）财政收支管理情况进行了审计。揭示预算编报不完整、过紧日子要求不到位、财政收支不规范等问题，查出问题金额1460.51亿元，移送线索5条，督促相关单位缴入国库、补征非税收入、清理盘活存量资金等800.67亿元，完善规章制度58项，追责问责119人，促进财政资金提质增效，真正把资金用在刀刃上。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三）紧盯乡村振兴，推动有效衔接。以促进惠农政策落实，持续推动夯实脱贫基础为目标，对自治区35个乡村振兴重点帮扶县相关政策落实和资金情况开展审计。揭示财政资金损失浪费、产业扶持政策落实不到位、帮扶项目资产资金管理不规范等问题，查出问题金额85.84亿元，拟移送线索19条，督促相关单位整改资金37.61亿元，完善规章制度73项，追责问责44人，推动各项惠民富民利民政策落实落地。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四）紧盯民生资金，兜牢民生底线。聚焦困难群众救助补助资金筹集、分配和使用等重点，对阿克苏、喀什2个地区困难群众救助补助情况开展审计。揭示未有效履行地方支出责任3068万元、扩大范围支出救助补助资金967万元、违规享受救助待遇302万元等问题，移送线索1条，督促相关单位整改资金5396万元，完善规章制度38项，追责问责170人，促进民生资金廉洁安全高效使用。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五）紧盯工程建设，促进规范管理。以推动政府投资项目规范有序运行为目标，对2021年水利资金管理使用和项目建设运营情况、自治区监狱管理局和戒毒管理局项目建设管理及沙雅县排水改造等国外贷援款项目开展审计。揭示项目建设进展缓慢、管理不规范、超概算建设等突出问题，查出问题金额53.77亿元，移送线索4条，督促相关单位整改资金21.21亿元，完善规章制度等16项，进一步促进自治区重大项目建设工作有效推进。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六）紧盯风险防范，推动源头治理。以有效防范化解风险为目标，对自治区农信社部分县（市）行社风险情况、新疆金融投资有限公司经营管理情况等开展审计。揭示国有资产经营管理不善、违规发放贷款、风险防控不到位等问题，查出问题金额138.47亿元，移送线索1条，督促相关单位整改资金9.41亿元，完善规章制度11项，切实做到精准识别、主动预警，筑牢经济社会发展安全屏障。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七）紧盯生态保护，促进绿色发展。以贯彻落实绿色发展理念为目标，重点关注11个地（州、市）党政主要领导干部履行生态文明建设职责情况，对2个地州、3个县市党政主要领导干部开展自然资源资产离任（任中）审计。揭示耕地“非农化”、建设用地集约节约化利用水平不高、矿产资源开发利用不规范等突出问题，查出违规金额9.02亿元，督促相关单位整改资金7655.29万元，建立和完善规划、规章制度等12项，为建设天蓝地绿水清的美丽新疆贡献审计力量。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八）紧盯责任履行，规范权力运行。以强化领导干部管理监督，促进履职尽责为目标，紧盯“关键少数”，聚焦权力运行，对11个地（州、市）、14个县（市、区）和2个部门、1个企业的主要领导干部开展经济责任审计。揭示规划目标任务未完成、财政运行管理不规范、民生项目和资金管理不到位等突出问题，查出问题金额2102.47亿元，移送线索4条，督促相关单位整改资金778.18亿元，完善规章制度211项，追责问责54人，坚决遏制权力任性，防止权力滥用。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4.资金投入和使用情况：审计业务经费2021年度预算资金安排2,100万元，实际到位资金总额2,100万元，年中无追加资金，属延续性项目，全部为财政拨款资金。  </w:t>
      </w:r>
      <w:r>
        <w:rPr>
          <w:rStyle w:val="17"/>
          <w:rFonts w:hint="eastAsia" w:ascii="楷体" w:hAnsi="楷体" w:eastAsia="楷体"/>
          <w:spacing w:val="-4"/>
          <w:sz w:val="32"/>
          <w:szCs w:val="32"/>
        </w:rPr>
        <w:br/>
      </w:r>
      <w:r>
        <w:rPr>
          <w:rStyle w:val="17"/>
          <w:rFonts w:hint="eastAsia" w:ascii="楷体" w:hAnsi="楷体" w:eastAsia="楷体"/>
          <w:spacing w:val="-4"/>
          <w:sz w:val="32"/>
          <w:szCs w:val="32"/>
        </w:rPr>
        <w:t>2021年一般公共预算拨款实际支付2083.12万元，预算执行率99.2%。</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（二）项目绩效目标。包括总体目标和阶段性目标。</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xml:space="preserve">1.总目标：以习近平新时代中国特色社会主义思想为指导，深入贯彻党的十九大和十九届二中、三中、四中、五中全会精神，贯彻落实第三次中央新疆工作座谈会精神、特别是习近平总书记关于新疆工作和审计工作的重要讲话和重要指示批示精神，坚持以党和国家工作大局作为审计工作的着力点，把握新疆高质量发展主题，紧紧围绕《自治区国民经济和社会发展第十四个五年规划和2035年远景目标纲要》明确的重点任务和自治区2022年经济工作部署，坚持党的工作重点抓什么，审计就审什么，将党对审计工作集中统一领导的各项要求贯彻落实到新发展阶段新疆审计工作的全过程各方面，重点加大对创新驱动发展、“十大产业”、全面深化改革、丝绸之路经济带核心区建设、防范化解重大风险、“十项惠民工程”、巩固拓展脱贫攻坚成果同乡村振兴有效衔接、重点投资项目等国家及自治区重大政策措施落实情况的审计力度。进一步完善审计制度机制，依法全面履行审计监督职责，做好常态化“经济体检”工作，做到应审尽审、凡审必严，切实推动治理、服务发展、维护安全，确保审计监督更加有力、更加有效。 </w:t>
      </w:r>
      <w:r>
        <w:rPr>
          <w:rStyle w:val="17"/>
          <w:rFonts w:hint="eastAsia" w:ascii="楷体" w:hAnsi="楷体" w:eastAsia="楷体"/>
          <w:spacing w:val="-4"/>
          <w:sz w:val="32"/>
          <w:szCs w:val="32"/>
        </w:rPr>
        <w:br/>
      </w:r>
      <w:r>
        <w:rPr>
          <w:rStyle w:val="17"/>
          <w:rFonts w:hint="eastAsia" w:ascii="楷体" w:hAnsi="楷体" w:eastAsia="楷体"/>
          <w:spacing w:val="-4"/>
          <w:sz w:val="32"/>
          <w:szCs w:val="32"/>
        </w:rPr>
        <w:t>2.阶段性目标：（1）严格落实自治区年度审计项目计划安排，高质量完成重大政策措施贯彻落实情况跟踪审计、财政审计、经济责任审计等各项审计任务，做好年度自治区本级预算执行和其他财政收支审计和审计查出问题整改情况报告工作，推动自治区党委、政府各项部署要求落实到位；（2）加强和改进审计管理和组织方式，深化审计资源调配，坚持科技强审，充分利用信息化手段，高质量推进自治区本级财政一级预算单位预算执行审计全覆盖，切实做到党中央重大政策措施部署到哪里，国家利益延伸到哪里，公共资金运用到哪里，公共权力使到哪里，审计监督就跟进到哪里；（3）强化审计查出问题整改情况的跟踪督促检查，严格对账销号，进一步压实整改主体责任，促进被审计单位制定整改措施、明确整改目标、完善制度机制；对已整改的问题及时组织“回头看”，防止敷衍整改、虚假整改；切实推动审计查出问题得到全部整改、彻底整改；（4）严格执行中央八项规定及其实施细则精神，大力推进精文简会，牢固树立绩效意识，全面实施预算绩效管理，推进内部控制管理工作，全面落实带头过“紧日子”要求；（5）强化专业训练、实践锻炼，通过业务培训，切实提升审计干部“能查、能说、能写”的能力，提高审计工作质量和水平。</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w:t>
      </w:r>
      <w:r>
        <w:rPr>
          <w:rStyle w:val="17"/>
          <w:rFonts w:hint="eastAsia"/>
          <w:spacing w:val="-4"/>
          <w:sz w:val="32"/>
          <w:szCs w:val="32"/>
        </w:rPr>
        <w:t>绩效评价工作开展情况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（一）绩效评价目的、对象和范围。</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xml:space="preserve">绩效评价旨在通过评价改善审计厅整体财政支出管理，优化资源配置及提高服务水平。运用科学、规范的绩效评价方法，按照《中共中央 国务院关于全面实施预算绩效管理的意见》（中发〔2018〕34号）、《自治区党委 自治区人民政府关于全面实施预算绩效管理的实施意见》（新党发〔2018〕30号）以及自治区财政厅《关于印发﹤自治区本级财政支出绩效评价管理暂行办法﹥的通知》（新财预〔2018〕188号）的要求，对审计业务经费项目进行科学评价，确保项目预算编制合理性、资金使用合规性、项目管理的规范性、项目目标的实现情况、服务对象的满意度等，通过评价来总结经验，促进项目成果应用，为今后项目的长效管理，提供可行性参考建议。贯彻落实好全面实施预算绩效管理工作要求，认真梳理总结推进预算绩效管理工作经验，进一步增强预算绩效管理主体责任意识，细化分解各项任务目标，确保组织保障到位，任务安排到底，责任落实到人，逐步提高预算绩效管理水平。  </w:t>
      </w:r>
      <w:r>
        <w:rPr>
          <w:rStyle w:val="17"/>
          <w:rFonts w:hint="eastAsia" w:ascii="楷体" w:hAnsi="楷体" w:eastAsia="楷体"/>
          <w:spacing w:val="-4"/>
          <w:sz w:val="32"/>
          <w:szCs w:val="32"/>
        </w:rPr>
        <w:br/>
      </w:r>
      <w:r>
        <w:rPr>
          <w:rStyle w:val="17"/>
          <w:rFonts w:hint="eastAsia" w:ascii="楷体" w:hAnsi="楷体" w:eastAsia="楷体"/>
          <w:spacing w:val="-4"/>
          <w:sz w:val="32"/>
          <w:szCs w:val="32"/>
        </w:rPr>
        <w:t>本次评价从项目决策（包括绩效目标、决策过程）、项目管理（包括项目资金、项目实施）、项目产出（包括项目产出数量、产出质量）经济效益四个维度进行评价，评价对象为财政下达审计业务经费项目，评价核心为项目资金的支出完成情况和效果。</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（二）绩效评价原则、评价指标体系（附表说明）、评价方法、评价标准等。</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xml:space="preserve">1.本次绩效评价主要遵循以下原则：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（1）科学公正。绩效评价应当运用科学合理的方法，按照规范的程序，对项目绩效进行客观、公正的反映。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2）统筹兼顾。单位自评、部门评价和财政评价应职责明确，各有侧重，相互衔接。单位自评应由项目单位负责实施，即“谁支出、谁自评”。部门评价应在单位自评的基础上开展，必要时可委托第三方机构实施。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（3）激励约束。绩效评价结果应与预算安排、政策调整、改进管理实质性挂钩，体现奖优罚劣和激励相容导向，有效要安排、低效要压减、无效要问责。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（4）公开透明。绩效评价结果应依法依规公开，并自觉接受社会监督。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2.绩效评价指标体系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2个2级指标，效益下设经济效益2个二级指标。项目绩效评价指标体系详见下表：  </w:t>
      </w:r>
      <w:r>
        <w:rPr>
          <w:rStyle w:val="17"/>
          <w:rFonts w:hint="eastAsia" w:ascii="楷体" w:hAnsi="楷体" w:eastAsia="楷体"/>
          <w:spacing w:val="-4"/>
          <w:sz w:val="32"/>
          <w:szCs w:val="32"/>
        </w:rPr>
        <w:br/>
      </w:r>
      <w:r>
        <w:rPr>
          <w:rStyle w:val="17"/>
          <w:rFonts w:hint="eastAsia" w:ascii="楷体" w:hAnsi="楷体" w:eastAsia="楷体"/>
          <w:spacing w:val="-4"/>
          <w:sz w:val="32"/>
          <w:szCs w:val="32"/>
        </w:rPr>
        <w:t>一级指标</w:t>
      </w:r>
      <w:r>
        <w:rPr>
          <w:rStyle w:val="17"/>
          <w:rFonts w:hint="eastAsia" w:ascii="楷体" w:hAnsi="楷体" w:eastAsia="楷体"/>
          <w:spacing w:val="-4"/>
          <w:sz w:val="32"/>
          <w:szCs w:val="32"/>
        </w:rPr>
        <w:tab/>
      </w:r>
      <w:r>
        <w:rPr>
          <w:rStyle w:val="17"/>
          <w:rFonts w:hint="eastAsia" w:ascii="楷体" w:hAnsi="楷体" w:eastAsia="楷体"/>
          <w:spacing w:val="-4"/>
          <w:sz w:val="32"/>
          <w:szCs w:val="32"/>
        </w:rPr>
        <w:t>二级指标</w:t>
      </w:r>
      <w:r>
        <w:rPr>
          <w:rStyle w:val="17"/>
          <w:rFonts w:hint="eastAsia" w:ascii="楷体" w:hAnsi="楷体" w:eastAsia="楷体"/>
          <w:spacing w:val="-4"/>
          <w:sz w:val="32"/>
          <w:szCs w:val="32"/>
        </w:rPr>
        <w:tab/>
      </w:r>
      <w:r>
        <w:rPr>
          <w:rStyle w:val="17"/>
          <w:rFonts w:hint="eastAsia" w:ascii="楷体" w:hAnsi="楷体" w:eastAsia="楷体"/>
          <w:spacing w:val="-4"/>
          <w:sz w:val="32"/>
          <w:szCs w:val="32"/>
        </w:rPr>
        <w:t>三级指标</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指标解释  </w:t>
      </w:r>
      <w:r>
        <w:rPr>
          <w:rStyle w:val="17"/>
          <w:rFonts w:hint="eastAsia" w:ascii="楷体" w:hAnsi="楷体" w:eastAsia="楷体"/>
          <w:spacing w:val="-4"/>
          <w:sz w:val="32"/>
          <w:szCs w:val="32"/>
        </w:rPr>
        <w:br/>
      </w:r>
      <w:r>
        <w:rPr>
          <w:rStyle w:val="17"/>
          <w:rFonts w:hint="eastAsia" w:ascii="楷体" w:hAnsi="楷体" w:eastAsia="楷体"/>
          <w:spacing w:val="-4"/>
          <w:sz w:val="32"/>
          <w:szCs w:val="32"/>
        </w:rPr>
        <w:t>决策   （20分）　</w:t>
      </w:r>
      <w:r>
        <w:rPr>
          <w:rStyle w:val="17"/>
          <w:rFonts w:hint="eastAsia" w:ascii="楷体" w:hAnsi="楷体" w:eastAsia="楷体"/>
          <w:spacing w:val="-4"/>
          <w:sz w:val="32"/>
          <w:szCs w:val="32"/>
        </w:rPr>
        <w:tab/>
      </w:r>
      <w:r>
        <w:rPr>
          <w:rStyle w:val="17"/>
          <w:rFonts w:hint="eastAsia" w:ascii="楷体" w:hAnsi="楷体" w:eastAsia="楷体"/>
          <w:spacing w:val="-4"/>
          <w:sz w:val="32"/>
          <w:szCs w:val="32"/>
        </w:rPr>
        <w:t>项目立项（10分）　</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立项依据  </w:t>
      </w:r>
      <w:r>
        <w:rPr>
          <w:rStyle w:val="17"/>
          <w:rFonts w:hint="eastAsia" w:ascii="楷体" w:hAnsi="楷体" w:eastAsia="楷体"/>
          <w:spacing w:val="-4"/>
          <w:sz w:val="32"/>
          <w:szCs w:val="32"/>
        </w:rPr>
        <w:br/>
      </w:r>
      <w:r>
        <w:rPr>
          <w:rStyle w:val="17"/>
          <w:rFonts w:hint="eastAsia" w:ascii="楷体" w:hAnsi="楷体" w:eastAsia="楷体"/>
          <w:spacing w:val="-4"/>
          <w:sz w:val="32"/>
          <w:szCs w:val="32"/>
        </w:rPr>
        <w:t>充分性(5分)</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项目立项是否符合法律法规、相关政策、发展规划以及部门职责，用以反映和考核项目立项依据情况。  </w:t>
      </w:r>
      <w:r>
        <w:rPr>
          <w:rStyle w:val="17"/>
          <w:rFonts w:hint="eastAsia" w:ascii="楷体" w:hAnsi="楷体" w:eastAsia="楷体"/>
          <w:spacing w:val="-4"/>
          <w:sz w:val="32"/>
          <w:szCs w:val="32"/>
        </w:rPr>
        <w:br/>
      </w:r>
      <w:r>
        <w:rPr>
          <w:rStyle w:val="17"/>
          <w:rFonts w:hint="eastAsia" w:ascii="楷体" w:hAnsi="楷体" w:eastAsia="楷体"/>
          <w:spacing w:val="-4"/>
          <w:sz w:val="32"/>
          <w:szCs w:val="32"/>
        </w:rPr>
        <w:tab/>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立项程序  </w:t>
      </w:r>
      <w:r>
        <w:rPr>
          <w:rStyle w:val="17"/>
          <w:rFonts w:hint="eastAsia" w:ascii="楷体" w:hAnsi="楷体" w:eastAsia="楷体"/>
          <w:spacing w:val="-4"/>
          <w:sz w:val="32"/>
          <w:szCs w:val="32"/>
        </w:rPr>
        <w:br/>
      </w:r>
      <w:r>
        <w:rPr>
          <w:rStyle w:val="17"/>
          <w:rFonts w:hint="eastAsia" w:ascii="楷体" w:hAnsi="楷体" w:eastAsia="楷体"/>
          <w:spacing w:val="-4"/>
          <w:sz w:val="32"/>
          <w:szCs w:val="32"/>
        </w:rPr>
        <w:t>规范性(5分)</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项目申请、设立过程是否符合相关要求，用以反映和考核项目立项的规范情况。  </w:t>
      </w:r>
      <w:r>
        <w:rPr>
          <w:rStyle w:val="17"/>
          <w:rFonts w:hint="eastAsia" w:ascii="楷体" w:hAnsi="楷体" w:eastAsia="楷体"/>
          <w:spacing w:val="-4"/>
          <w:sz w:val="32"/>
          <w:szCs w:val="32"/>
        </w:rPr>
        <w:br/>
      </w:r>
      <w:r>
        <w:rPr>
          <w:rStyle w:val="17"/>
          <w:rFonts w:hint="eastAsia" w:ascii="楷体" w:hAnsi="楷体" w:eastAsia="楷体"/>
          <w:spacing w:val="-4"/>
          <w:sz w:val="32"/>
          <w:szCs w:val="32"/>
        </w:rPr>
        <w:tab/>
      </w:r>
      <w:r>
        <w:rPr>
          <w:rStyle w:val="17"/>
          <w:rFonts w:hint="eastAsia" w:ascii="楷体" w:hAnsi="楷体" w:eastAsia="楷体"/>
          <w:spacing w:val="-4"/>
          <w:sz w:val="32"/>
          <w:szCs w:val="32"/>
        </w:rPr>
        <w:t>绩效目标（5分）</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绩效目标  </w:t>
      </w:r>
      <w:r>
        <w:rPr>
          <w:rStyle w:val="17"/>
          <w:rFonts w:hint="eastAsia" w:ascii="楷体" w:hAnsi="楷体" w:eastAsia="楷体"/>
          <w:spacing w:val="-4"/>
          <w:sz w:val="32"/>
          <w:szCs w:val="32"/>
        </w:rPr>
        <w:br/>
      </w:r>
      <w:r>
        <w:rPr>
          <w:rStyle w:val="17"/>
          <w:rFonts w:hint="eastAsia" w:ascii="楷体" w:hAnsi="楷体" w:eastAsia="楷体"/>
          <w:spacing w:val="-4"/>
          <w:sz w:val="32"/>
          <w:szCs w:val="32"/>
        </w:rPr>
        <w:t>合理性(2.5分)</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项目所设定的绩效目标是否依据充分，是否符合客观实际，用以反映和考核项目绩效目标与项目实施的相符情况。  </w:t>
      </w:r>
      <w:r>
        <w:rPr>
          <w:rStyle w:val="17"/>
          <w:rFonts w:hint="eastAsia" w:ascii="楷体" w:hAnsi="楷体" w:eastAsia="楷体"/>
          <w:spacing w:val="-4"/>
          <w:sz w:val="32"/>
          <w:szCs w:val="32"/>
        </w:rPr>
        <w:br/>
      </w:r>
      <w:r>
        <w:rPr>
          <w:rStyle w:val="17"/>
          <w:rFonts w:hint="eastAsia" w:ascii="楷体" w:hAnsi="楷体" w:eastAsia="楷体"/>
          <w:spacing w:val="-4"/>
          <w:sz w:val="32"/>
          <w:szCs w:val="32"/>
        </w:rPr>
        <w:tab/>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绩效指标  </w:t>
      </w:r>
      <w:r>
        <w:rPr>
          <w:rStyle w:val="17"/>
          <w:rFonts w:hint="eastAsia" w:ascii="楷体" w:hAnsi="楷体" w:eastAsia="楷体"/>
          <w:spacing w:val="-4"/>
          <w:sz w:val="32"/>
          <w:szCs w:val="32"/>
        </w:rPr>
        <w:br/>
      </w:r>
      <w:r>
        <w:rPr>
          <w:rStyle w:val="17"/>
          <w:rFonts w:hint="eastAsia" w:ascii="楷体" w:hAnsi="楷体" w:eastAsia="楷体"/>
          <w:spacing w:val="-4"/>
          <w:sz w:val="32"/>
          <w:szCs w:val="32"/>
        </w:rPr>
        <w:t>明确性(2.5分)</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依据绩效目标设定的绩效指标是否清晰、细化、可衡量等，用以反映和考核项目绩效目标的明细化情况。  </w:t>
      </w:r>
      <w:r>
        <w:rPr>
          <w:rStyle w:val="17"/>
          <w:rFonts w:hint="eastAsia" w:ascii="楷体" w:hAnsi="楷体" w:eastAsia="楷体"/>
          <w:spacing w:val="-4"/>
          <w:sz w:val="32"/>
          <w:szCs w:val="32"/>
        </w:rPr>
        <w:br/>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资金投入（5分）  </w:t>
      </w:r>
      <w:r>
        <w:rPr>
          <w:rStyle w:val="17"/>
          <w:rFonts w:hint="eastAsia" w:ascii="楷体" w:hAnsi="楷体" w:eastAsia="楷体"/>
          <w:spacing w:val="-4"/>
          <w:sz w:val="32"/>
          <w:szCs w:val="32"/>
        </w:rPr>
        <w:br/>
      </w:r>
      <w:r>
        <w:rPr>
          <w:rStyle w:val="17"/>
          <w:rFonts w:hint="eastAsia" w:ascii="楷体" w:hAnsi="楷体" w:eastAsia="楷体"/>
          <w:spacing w:val="-4"/>
          <w:sz w:val="32"/>
          <w:szCs w:val="32"/>
        </w:rPr>
        <w:t>　</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预算编制  </w:t>
      </w:r>
      <w:r>
        <w:rPr>
          <w:rStyle w:val="17"/>
          <w:rFonts w:hint="eastAsia" w:ascii="楷体" w:hAnsi="楷体" w:eastAsia="楷体"/>
          <w:spacing w:val="-4"/>
          <w:sz w:val="32"/>
          <w:szCs w:val="32"/>
        </w:rPr>
        <w:br/>
      </w:r>
      <w:r>
        <w:rPr>
          <w:rStyle w:val="17"/>
          <w:rFonts w:hint="eastAsia" w:ascii="楷体" w:hAnsi="楷体" w:eastAsia="楷体"/>
          <w:spacing w:val="-4"/>
          <w:sz w:val="32"/>
          <w:szCs w:val="32"/>
        </w:rPr>
        <w:t>科学性   (2.5分)</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项目预算编制是否经过科学论证、有明确标准，资金额度与年度目标是否相适应，用以反映和考核项目预算编制的科学性、合理性情况。  </w:t>
      </w:r>
      <w:r>
        <w:rPr>
          <w:rStyle w:val="17"/>
          <w:rFonts w:hint="eastAsia" w:ascii="楷体" w:hAnsi="楷体" w:eastAsia="楷体"/>
          <w:spacing w:val="-4"/>
          <w:sz w:val="32"/>
          <w:szCs w:val="32"/>
        </w:rPr>
        <w:br/>
      </w:r>
      <w:r>
        <w:rPr>
          <w:rStyle w:val="17"/>
          <w:rFonts w:hint="eastAsia" w:ascii="楷体" w:hAnsi="楷体" w:eastAsia="楷体"/>
          <w:spacing w:val="-4"/>
          <w:sz w:val="32"/>
          <w:szCs w:val="32"/>
        </w:rPr>
        <w:tab/>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资金分配  </w:t>
      </w:r>
      <w:r>
        <w:rPr>
          <w:rStyle w:val="17"/>
          <w:rFonts w:hint="eastAsia" w:ascii="楷体" w:hAnsi="楷体" w:eastAsia="楷体"/>
          <w:spacing w:val="-4"/>
          <w:sz w:val="32"/>
          <w:szCs w:val="32"/>
        </w:rPr>
        <w:br/>
      </w:r>
      <w:r>
        <w:rPr>
          <w:rStyle w:val="17"/>
          <w:rFonts w:hint="eastAsia" w:ascii="楷体" w:hAnsi="楷体" w:eastAsia="楷体"/>
          <w:spacing w:val="-4"/>
          <w:sz w:val="32"/>
          <w:szCs w:val="32"/>
        </w:rPr>
        <w:t>合理性(2.5分)</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项目预算资金分配是否有测算依据，与补助单位或地方实际是否相适应，用以反映和考核项目预算资金分配的科学性、合理性情况。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过程   （20分）  </w:t>
      </w:r>
      <w:r>
        <w:rPr>
          <w:rStyle w:val="17"/>
          <w:rFonts w:hint="eastAsia" w:ascii="楷体" w:hAnsi="楷体" w:eastAsia="楷体"/>
          <w:spacing w:val="-4"/>
          <w:sz w:val="32"/>
          <w:szCs w:val="32"/>
        </w:rPr>
        <w:br/>
      </w:r>
      <w:r>
        <w:rPr>
          <w:rStyle w:val="17"/>
          <w:rFonts w:hint="eastAsia" w:ascii="楷体" w:hAnsi="楷体" w:eastAsia="楷体"/>
          <w:spacing w:val="-4"/>
          <w:sz w:val="32"/>
          <w:szCs w:val="32"/>
        </w:rPr>
        <w:t>　</w:t>
      </w:r>
      <w:r>
        <w:rPr>
          <w:rStyle w:val="17"/>
          <w:rFonts w:hint="eastAsia" w:ascii="楷体" w:hAnsi="楷体" w:eastAsia="楷体"/>
          <w:spacing w:val="-4"/>
          <w:sz w:val="32"/>
          <w:szCs w:val="32"/>
        </w:rPr>
        <w:tab/>
      </w:r>
      <w:r>
        <w:rPr>
          <w:rStyle w:val="17"/>
          <w:rFonts w:hint="eastAsia" w:ascii="楷体" w:hAnsi="楷体" w:eastAsia="楷体"/>
          <w:spacing w:val="-4"/>
          <w:sz w:val="32"/>
          <w:szCs w:val="32"/>
        </w:rPr>
        <w:t>资金管理（12分）</w:t>
      </w:r>
      <w:r>
        <w:rPr>
          <w:rStyle w:val="17"/>
          <w:rFonts w:hint="eastAsia" w:ascii="楷体" w:hAnsi="楷体" w:eastAsia="楷体"/>
          <w:spacing w:val="-4"/>
          <w:sz w:val="32"/>
          <w:szCs w:val="32"/>
        </w:rPr>
        <w:tab/>
      </w:r>
      <w:r>
        <w:rPr>
          <w:rStyle w:val="17"/>
          <w:rFonts w:hint="eastAsia" w:ascii="楷体" w:hAnsi="楷体" w:eastAsia="楷体"/>
          <w:spacing w:val="-4"/>
          <w:sz w:val="32"/>
          <w:szCs w:val="32"/>
        </w:rPr>
        <w:t>预算执行率  （6分）</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项目预算资金是否按照计划执行，用以反映或考核项目预算执行情况。  </w:t>
      </w:r>
      <w:r>
        <w:rPr>
          <w:rStyle w:val="17"/>
          <w:rFonts w:hint="eastAsia" w:ascii="楷体" w:hAnsi="楷体" w:eastAsia="楷体"/>
          <w:spacing w:val="-4"/>
          <w:sz w:val="32"/>
          <w:szCs w:val="32"/>
        </w:rPr>
        <w:br/>
      </w:r>
      <w:r>
        <w:rPr>
          <w:rStyle w:val="17"/>
          <w:rFonts w:hint="eastAsia" w:ascii="楷体" w:hAnsi="楷体" w:eastAsia="楷体"/>
          <w:spacing w:val="-4"/>
          <w:sz w:val="32"/>
          <w:szCs w:val="32"/>
        </w:rPr>
        <w:tab/>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资金使用  </w:t>
      </w:r>
      <w:r>
        <w:rPr>
          <w:rStyle w:val="17"/>
          <w:rFonts w:hint="eastAsia" w:ascii="楷体" w:hAnsi="楷体" w:eastAsia="楷体"/>
          <w:spacing w:val="-4"/>
          <w:sz w:val="32"/>
          <w:szCs w:val="32"/>
        </w:rPr>
        <w:br/>
      </w:r>
      <w:r>
        <w:rPr>
          <w:rStyle w:val="17"/>
          <w:rFonts w:hint="eastAsia" w:ascii="楷体" w:hAnsi="楷体" w:eastAsia="楷体"/>
          <w:spacing w:val="-4"/>
          <w:sz w:val="32"/>
          <w:szCs w:val="32"/>
        </w:rPr>
        <w:t>合规性     （6分）</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项目资金使用是否符合相关的财务管理制度规定，用以反映和考核项目资金的规范运行情况。  </w:t>
      </w:r>
      <w:r>
        <w:rPr>
          <w:rStyle w:val="17"/>
          <w:rFonts w:hint="eastAsia" w:ascii="楷体" w:hAnsi="楷体" w:eastAsia="楷体"/>
          <w:spacing w:val="-4"/>
          <w:sz w:val="32"/>
          <w:szCs w:val="32"/>
        </w:rPr>
        <w:br/>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组织实施（8分）  </w:t>
      </w:r>
      <w:r>
        <w:rPr>
          <w:rStyle w:val="17"/>
          <w:rFonts w:hint="eastAsia" w:ascii="楷体" w:hAnsi="楷体" w:eastAsia="楷体"/>
          <w:spacing w:val="-4"/>
          <w:sz w:val="32"/>
          <w:szCs w:val="32"/>
        </w:rPr>
        <w:br/>
      </w:r>
      <w:r>
        <w:rPr>
          <w:rStyle w:val="17"/>
          <w:rFonts w:hint="eastAsia" w:ascii="楷体" w:hAnsi="楷体" w:eastAsia="楷体"/>
          <w:spacing w:val="-4"/>
          <w:sz w:val="32"/>
          <w:szCs w:val="32"/>
        </w:rPr>
        <w:t>　</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管理制度  </w:t>
      </w:r>
      <w:r>
        <w:rPr>
          <w:rStyle w:val="17"/>
          <w:rFonts w:hint="eastAsia" w:ascii="楷体" w:hAnsi="楷体" w:eastAsia="楷体"/>
          <w:spacing w:val="-4"/>
          <w:sz w:val="32"/>
          <w:szCs w:val="32"/>
        </w:rPr>
        <w:br/>
      </w:r>
      <w:r>
        <w:rPr>
          <w:rStyle w:val="17"/>
          <w:rFonts w:hint="eastAsia" w:ascii="楷体" w:hAnsi="楷体" w:eastAsia="楷体"/>
          <w:spacing w:val="-4"/>
          <w:sz w:val="32"/>
          <w:szCs w:val="32"/>
        </w:rPr>
        <w:t>健全性     （4分）</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项目实施单位的财务和业务管理制度是否健全，用以反映和考核财务和业务管理制度对项目顺利实施的保障情况。  </w:t>
      </w:r>
      <w:r>
        <w:rPr>
          <w:rStyle w:val="17"/>
          <w:rFonts w:hint="eastAsia" w:ascii="楷体" w:hAnsi="楷体" w:eastAsia="楷体"/>
          <w:spacing w:val="-4"/>
          <w:sz w:val="32"/>
          <w:szCs w:val="32"/>
        </w:rPr>
        <w:br/>
      </w:r>
      <w:r>
        <w:rPr>
          <w:rStyle w:val="17"/>
          <w:rFonts w:hint="eastAsia" w:ascii="楷体" w:hAnsi="楷体" w:eastAsia="楷体"/>
          <w:spacing w:val="-4"/>
          <w:sz w:val="32"/>
          <w:szCs w:val="32"/>
        </w:rPr>
        <w:tab/>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制度执行  </w:t>
      </w:r>
      <w:r>
        <w:rPr>
          <w:rStyle w:val="17"/>
          <w:rFonts w:hint="eastAsia" w:ascii="楷体" w:hAnsi="楷体" w:eastAsia="楷体"/>
          <w:spacing w:val="-4"/>
          <w:sz w:val="32"/>
          <w:szCs w:val="32"/>
        </w:rPr>
        <w:br/>
      </w:r>
      <w:r>
        <w:rPr>
          <w:rStyle w:val="17"/>
          <w:rFonts w:hint="eastAsia" w:ascii="楷体" w:hAnsi="楷体" w:eastAsia="楷体"/>
          <w:spacing w:val="-4"/>
          <w:sz w:val="32"/>
          <w:szCs w:val="32"/>
        </w:rPr>
        <w:t>有效性     （4分）</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项目实施是否符合相关管理规定，用以反映和考核相关管理制度的有效执行情况。  </w:t>
      </w:r>
      <w:r>
        <w:rPr>
          <w:rStyle w:val="17"/>
          <w:rFonts w:hint="eastAsia" w:ascii="楷体" w:hAnsi="楷体" w:eastAsia="楷体"/>
          <w:spacing w:val="-4"/>
          <w:sz w:val="32"/>
          <w:szCs w:val="32"/>
        </w:rPr>
        <w:br/>
      </w:r>
      <w:r>
        <w:rPr>
          <w:rStyle w:val="17"/>
          <w:rFonts w:hint="eastAsia" w:ascii="楷体" w:hAnsi="楷体" w:eastAsia="楷体"/>
          <w:spacing w:val="-4"/>
          <w:sz w:val="32"/>
          <w:szCs w:val="32"/>
        </w:rPr>
        <w:t>产出   （40分）</w:t>
      </w:r>
      <w:r>
        <w:rPr>
          <w:rStyle w:val="17"/>
          <w:rFonts w:hint="eastAsia" w:ascii="楷体" w:hAnsi="楷体" w:eastAsia="楷体"/>
          <w:spacing w:val="-4"/>
          <w:sz w:val="32"/>
          <w:szCs w:val="32"/>
        </w:rPr>
        <w:tab/>
      </w:r>
      <w:r>
        <w:rPr>
          <w:rStyle w:val="17"/>
          <w:rFonts w:hint="eastAsia" w:ascii="楷体" w:hAnsi="楷体" w:eastAsia="楷体"/>
          <w:spacing w:val="-4"/>
          <w:sz w:val="32"/>
          <w:szCs w:val="32"/>
        </w:rPr>
        <w:t>产出数量</w:t>
      </w:r>
      <w:r>
        <w:rPr>
          <w:rStyle w:val="17"/>
          <w:rFonts w:hint="eastAsia" w:ascii="楷体" w:hAnsi="楷体" w:eastAsia="楷体"/>
          <w:spacing w:val="-4"/>
          <w:sz w:val="32"/>
          <w:szCs w:val="32"/>
        </w:rPr>
        <w:tab/>
      </w:r>
      <w:r>
        <w:rPr>
          <w:rStyle w:val="17"/>
          <w:rFonts w:hint="eastAsia" w:ascii="楷体" w:hAnsi="楷体" w:eastAsia="楷体"/>
          <w:spacing w:val="-4"/>
          <w:sz w:val="32"/>
          <w:szCs w:val="32"/>
        </w:rPr>
        <w:t>实际完成率  （20分）</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项目实施的实际产出数与计划产出数的比率，用以反映和考核项目产出数量目标的实现程度。  </w:t>
      </w:r>
      <w:r>
        <w:rPr>
          <w:rStyle w:val="17"/>
          <w:rFonts w:hint="eastAsia" w:ascii="楷体" w:hAnsi="楷体" w:eastAsia="楷体"/>
          <w:spacing w:val="-4"/>
          <w:sz w:val="32"/>
          <w:szCs w:val="32"/>
        </w:rPr>
        <w:br/>
      </w:r>
      <w:r>
        <w:rPr>
          <w:rStyle w:val="17"/>
          <w:rFonts w:hint="eastAsia" w:ascii="楷体" w:hAnsi="楷体" w:eastAsia="楷体"/>
          <w:spacing w:val="-4"/>
          <w:sz w:val="32"/>
          <w:szCs w:val="32"/>
        </w:rPr>
        <w:tab/>
      </w:r>
      <w:r>
        <w:rPr>
          <w:rStyle w:val="17"/>
          <w:rFonts w:hint="eastAsia" w:ascii="楷体" w:hAnsi="楷体" w:eastAsia="楷体"/>
          <w:spacing w:val="-4"/>
          <w:sz w:val="32"/>
          <w:szCs w:val="32"/>
        </w:rPr>
        <w:t>产出质量</w:t>
      </w:r>
      <w:r>
        <w:rPr>
          <w:rStyle w:val="17"/>
          <w:rFonts w:hint="eastAsia" w:ascii="楷体" w:hAnsi="楷体" w:eastAsia="楷体"/>
          <w:spacing w:val="-4"/>
          <w:sz w:val="32"/>
          <w:szCs w:val="32"/>
        </w:rPr>
        <w:tab/>
      </w:r>
      <w:r>
        <w:rPr>
          <w:rStyle w:val="17"/>
          <w:rFonts w:hint="eastAsia" w:ascii="楷体" w:hAnsi="楷体" w:eastAsia="楷体"/>
          <w:spacing w:val="-4"/>
          <w:sz w:val="32"/>
          <w:szCs w:val="32"/>
        </w:rPr>
        <w:t>质量达标率（20分）</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项目完成的质量达标产出数与实际产出数的比率，用以反映和考核项目产出质量目标的实现程度。  </w:t>
      </w:r>
      <w:r>
        <w:rPr>
          <w:rStyle w:val="17"/>
          <w:rFonts w:hint="eastAsia" w:ascii="楷体" w:hAnsi="楷体" w:eastAsia="楷体"/>
          <w:spacing w:val="-4"/>
          <w:sz w:val="32"/>
          <w:szCs w:val="32"/>
        </w:rPr>
        <w:br/>
      </w:r>
      <w:r>
        <w:rPr>
          <w:rStyle w:val="17"/>
          <w:rFonts w:hint="eastAsia" w:ascii="楷体" w:hAnsi="楷体" w:eastAsia="楷体"/>
          <w:spacing w:val="-4"/>
          <w:sz w:val="32"/>
          <w:szCs w:val="32"/>
        </w:rPr>
        <w:t>效益    （20分）　</w:t>
      </w:r>
      <w:r>
        <w:rPr>
          <w:rStyle w:val="17"/>
          <w:rFonts w:hint="eastAsia" w:ascii="楷体" w:hAnsi="楷体" w:eastAsia="楷体"/>
          <w:spacing w:val="-4"/>
          <w:sz w:val="32"/>
          <w:szCs w:val="32"/>
        </w:rPr>
        <w:tab/>
      </w:r>
      <w:r>
        <w:rPr>
          <w:rStyle w:val="17"/>
          <w:rFonts w:hint="eastAsia" w:ascii="楷体" w:hAnsi="楷体" w:eastAsia="楷体"/>
          <w:spacing w:val="-4"/>
          <w:sz w:val="32"/>
          <w:szCs w:val="32"/>
        </w:rPr>
        <w:t>项目效益　</w:t>
      </w:r>
      <w:r>
        <w:rPr>
          <w:rStyle w:val="17"/>
          <w:rFonts w:hint="eastAsia" w:ascii="楷体" w:hAnsi="楷体" w:eastAsia="楷体"/>
          <w:spacing w:val="-4"/>
          <w:sz w:val="32"/>
          <w:szCs w:val="32"/>
        </w:rPr>
        <w:tab/>
      </w:r>
      <w:r>
        <w:rPr>
          <w:rStyle w:val="17"/>
          <w:rFonts w:hint="eastAsia" w:ascii="楷体" w:hAnsi="楷体" w:eastAsia="楷体"/>
          <w:spacing w:val="-4"/>
          <w:sz w:val="32"/>
          <w:szCs w:val="32"/>
        </w:rPr>
        <w:t>经济效益   （10分）</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项目实施所产生的效益。  </w:t>
      </w:r>
      <w:r>
        <w:rPr>
          <w:rStyle w:val="17"/>
          <w:rFonts w:hint="eastAsia" w:ascii="楷体" w:hAnsi="楷体" w:eastAsia="楷体"/>
          <w:spacing w:val="-4"/>
          <w:sz w:val="32"/>
          <w:szCs w:val="32"/>
        </w:rPr>
        <w:br/>
      </w:r>
      <w:r>
        <w:rPr>
          <w:rStyle w:val="17"/>
          <w:rFonts w:hint="eastAsia" w:ascii="楷体" w:hAnsi="楷体" w:eastAsia="楷体"/>
          <w:spacing w:val="-4"/>
          <w:sz w:val="32"/>
          <w:szCs w:val="32"/>
        </w:rPr>
        <w:tab/>
      </w:r>
      <w:r>
        <w:rPr>
          <w:rStyle w:val="17"/>
          <w:rFonts w:hint="eastAsia" w:ascii="楷体" w:hAnsi="楷体" w:eastAsia="楷体"/>
          <w:spacing w:val="-4"/>
          <w:sz w:val="32"/>
          <w:szCs w:val="32"/>
        </w:rPr>
        <w:tab/>
      </w:r>
      <w:r>
        <w:rPr>
          <w:rStyle w:val="17"/>
          <w:rFonts w:hint="eastAsia" w:ascii="楷体" w:hAnsi="楷体" w:eastAsia="楷体"/>
          <w:spacing w:val="-4"/>
          <w:sz w:val="32"/>
          <w:szCs w:val="32"/>
        </w:rPr>
        <w:t>满意度     （10分）</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社会公众或服务对象对项目实施效果的满意程度。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3.绩效评价标准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绩效评价标准通常包括计划标准、行业标准、历史标准等，用于对绩效指标完成情况进行比较。本次评价主要采用了历史标准和行业标准。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4.评价方法  </w:t>
      </w:r>
      <w:r>
        <w:rPr>
          <w:rStyle w:val="17"/>
          <w:rFonts w:hint="eastAsia" w:ascii="楷体" w:hAnsi="楷体" w:eastAsia="楷体"/>
          <w:spacing w:val="-4"/>
          <w:sz w:val="32"/>
          <w:szCs w:val="32"/>
        </w:rPr>
        <w:br/>
      </w:r>
      <w:r>
        <w:rPr>
          <w:rStyle w:val="17"/>
          <w:rFonts w:hint="eastAsia" w:ascii="楷体" w:hAnsi="楷体" w:eastAsia="楷体"/>
          <w:spacing w:val="-4"/>
          <w:sz w:val="32"/>
          <w:szCs w:val="32"/>
        </w:rPr>
        <w:t>绩效评价方法主要包括成本效益分析法、比较法、因素分析法、最低成本法、公众评判法、标杆管理法等。针对本项目，在评价过程中主要采用了因素分析法、成本效益分析法等。</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（三）绩效评价工作过程。</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xml:space="preserve">包括评价基础数据收集、资料来源和依据等佐证材料等情况。  </w:t>
      </w:r>
      <w:r>
        <w:rPr>
          <w:rStyle w:val="17"/>
          <w:rFonts w:hint="eastAsia" w:ascii="楷体" w:hAnsi="楷体" w:eastAsia="楷体"/>
          <w:spacing w:val="-4"/>
          <w:sz w:val="32"/>
          <w:szCs w:val="32"/>
        </w:rPr>
        <w:br/>
      </w:r>
      <w:r>
        <w:rPr>
          <w:rStyle w:val="17"/>
          <w:rFonts w:hint="eastAsia" w:ascii="楷体" w:hAnsi="楷体" w:eastAsia="楷体"/>
          <w:spacing w:val="-4"/>
          <w:sz w:val="32"/>
          <w:szCs w:val="32"/>
        </w:rPr>
        <w:t>项目负责各部门围绕项目预期要达到的总体目标、完成的工作量、工作质量、完成时间、应达到的预期效果等指标，不断完善该项目的所有资料准备，保障各项任务如期完成，并及时对项目进行支付和反馈。</w:t>
      </w:r>
    </w:p>
    <w:p>
      <w:pPr>
        <w:spacing w:line="540" w:lineRule="exact"/>
        <w:ind w:firstLine="640"/>
        <w:rPr>
          <w:rStyle w:val="17"/>
          <w:rFonts w:hint="eastAsia" w:ascii="黑体" w:hAnsi="黑体" w:eastAsia="黑体"/>
          <w:b w:val="0"/>
          <w:spacing w:val="-4"/>
          <w:sz w:val="32"/>
          <w:szCs w:val="32"/>
        </w:rPr>
      </w:pPr>
      <w:r>
        <w:rPr>
          <w:rStyle w:val="17"/>
          <w:rFonts w:hint="eastAsia" w:ascii="黑体" w:hAnsi="黑体" w:eastAsia="黑体"/>
          <w:b w:val="0"/>
          <w:spacing w:val="-4"/>
          <w:sz w:val="32"/>
          <w:szCs w:val="32"/>
        </w:rPr>
        <w:t>三、</w:t>
      </w:r>
      <w:r>
        <w:rPr>
          <w:rStyle w:val="17"/>
          <w:rFonts w:hint="eastAsia"/>
          <w:spacing w:val="-4"/>
          <w:sz w:val="32"/>
          <w:szCs w:val="32"/>
        </w:rPr>
        <w:t>综合评价情况及评价结论</w:t>
      </w:r>
    </w:p>
    <w:p>
      <w:pPr>
        <w:spacing w:line="540" w:lineRule="exact"/>
        <w:ind w:firstLine="567"/>
        <w:rPr>
          <w:rStyle w:val="17"/>
          <w:rFonts w:hint="eastAsia" w:ascii="楷体" w:hAnsi="楷体" w:eastAsia="楷体"/>
          <w:spacing w:val="-4"/>
          <w:sz w:val="32"/>
          <w:szCs w:val="32"/>
        </w:rPr>
      </w:pPr>
      <w:r>
        <w:rPr>
          <w:rStyle w:val="17"/>
          <w:rFonts w:hint="eastAsia" w:ascii="楷体" w:hAnsi="楷体" w:eastAsia="楷体"/>
          <w:spacing w:val="-4"/>
          <w:sz w:val="32"/>
          <w:szCs w:val="32"/>
        </w:rPr>
        <w:t xml:space="preserve">运用由项目组制订评价指标体系及评分标准，通过数据采集、实地调查，对审计业务经费项目进行客观评价，绩效指标分为四大类，总分值100分，实际得分98.6分，评价等级为“优”。其中：决策指标分10分，实际得分10分，得分率100%；产出指标分值40分，实际得分38.6分，得分率95%；效益指标分值40分，实际得分40分，得分率100%。满意度指标分值10分，实际得分10分，得分率100%。具体打分情况详见附件2（综合评分表）。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审计业务经费得分情况表  </w:t>
      </w:r>
      <w:r>
        <w:rPr>
          <w:rStyle w:val="17"/>
          <w:rFonts w:hint="eastAsia" w:ascii="楷体" w:hAnsi="楷体" w:eastAsia="楷体"/>
          <w:spacing w:val="-4"/>
          <w:sz w:val="32"/>
          <w:szCs w:val="32"/>
        </w:rPr>
        <w:br/>
      </w:r>
      <w:r>
        <w:rPr>
          <w:rStyle w:val="17"/>
          <w:rFonts w:hint="eastAsia" w:ascii="楷体" w:hAnsi="楷体" w:eastAsia="楷体"/>
          <w:spacing w:val="-4"/>
          <w:sz w:val="32"/>
          <w:szCs w:val="32"/>
        </w:rPr>
        <w:t>一级指标</w:t>
      </w:r>
      <w:r>
        <w:rPr>
          <w:rStyle w:val="17"/>
          <w:rFonts w:hint="eastAsia" w:ascii="楷体" w:hAnsi="楷体" w:eastAsia="楷体"/>
          <w:spacing w:val="-4"/>
          <w:sz w:val="32"/>
          <w:szCs w:val="32"/>
        </w:rPr>
        <w:tab/>
      </w:r>
      <w:r>
        <w:rPr>
          <w:rStyle w:val="17"/>
          <w:rFonts w:hint="eastAsia" w:ascii="楷体" w:hAnsi="楷体" w:eastAsia="楷体"/>
          <w:spacing w:val="-4"/>
          <w:sz w:val="32"/>
          <w:szCs w:val="32"/>
        </w:rPr>
        <w:t>权重</w:t>
      </w:r>
      <w:r>
        <w:rPr>
          <w:rStyle w:val="17"/>
          <w:rFonts w:hint="eastAsia" w:ascii="楷体" w:hAnsi="楷体" w:eastAsia="楷体"/>
          <w:spacing w:val="-4"/>
          <w:sz w:val="32"/>
          <w:szCs w:val="32"/>
        </w:rPr>
        <w:tab/>
      </w:r>
      <w:r>
        <w:rPr>
          <w:rStyle w:val="17"/>
          <w:rFonts w:hint="eastAsia" w:ascii="楷体" w:hAnsi="楷体" w:eastAsia="楷体"/>
          <w:spacing w:val="-4"/>
          <w:sz w:val="32"/>
          <w:szCs w:val="32"/>
        </w:rPr>
        <w:t>得分率</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实际得分  </w:t>
      </w:r>
      <w:r>
        <w:rPr>
          <w:rStyle w:val="17"/>
          <w:rFonts w:hint="eastAsia" w:ascii="楷体" w:hAnsi="楷体" w:eastAsia="楷体"/>
          <w:spacing w:val="-4"/>
          <w:sz w:val="32"/>
          <w:szCs w:val="32"/>
        </w:rPr>
        <w:br/>
      </w:r>
      <w:r>
        <w:rPr>
          <w:rStyle w:val="17"/>
          <w:rFonts w:hint="eastAsia" w:ascii="楷体" w:hAnsi="楷体" w:eastAsia="楷体"/>
          <w:spacing w:val="-4"/>
          <w:sz w:val="32"/>
          <w:szCs w:val="32"/>
        </w:rPr>
        <w:t>A.项目决策</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100%</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10  </w:t>
      </w:r>
      <w:r>
        <w:rPr>
          <w:rStyle w:val="17"/>
          <w:rFonts w:hint="eastAsia" w:ascii="楷体" w:hAnsi="楷体" w:eastAsia="楷体"/>
          <w:spacing w:val="-4"/>
          <w:sz w:val="32"/>
          <w:szCs w:val="32"/>
        </w:rPr>
        <w:br/>
      </w:r>
      <w:r>
        <w:rPr>
          <w:rStyle w:val="17"/>
          <w:rFonts w:hint="eastAsia" w:ascii="楷体" w:hAnsi="楷体" w:eastAsia="楷体"/>
          <w:spacing w:val="-4"/>
          <w:sz w:val="32"/>
          <w:szCs w:val="32"/>
        </w:rPr>
        <w:t>B.项目产出</w:t>
      </w:r>
      <w:r>
        <w:rPr>
          <w:rStyle w:val="17"/>
          <w:rFonts w:hint="eastAsia" w:ascii="楷体" w:hAnsi="楷体" w:eastAsia="楷体"/>
          <w:spacing w:val="-4"/>
          <w:sz w:val="32"/>
          <w:szCs w:val="32"/>
        </w:rPr>
        <w:tab/>
      </w:r>
      <w:r>
        <w:rPr>
          <w:rStyle w:val="17"/>
          <w:rFonts w:hint="eastAsia" w:ascii="楷体" w:hAnsi="楷体" w:eastAsia="楷体"/>
          <w:spacing w:val="-4"/>
          <w:sz w:val="32"/>
          <w:szCs w:val="32"/>
        </w:rPr>
        <w:t>40</w:t>
      </w:r>
      <w:r>
        <w:rPr>
          <w:rStyle w:val="17"/>
          <w:rFonts w:hint="eastAsia" w:ascii="楷体" w:hAnsi="楷体" w:eastAsia="楷体"/>
          <w:spacing w:val="-4"/>
          <w:sz w:val="32"/>
          <w:szCs w:val="32"/>
        </w:rPr>
        <w:tab/>
      </w:r>
      <w:r>
        <w:rPr>
          <w:rStyle w:val="17"/>
          <w:rFonts w:hint="eastAsia" w:ascii="楷体" w:hAnsi="楷体" w:eastAsia="楷体"/>
          <w:spacing w:val="-4"/>
          <w:sz w:val="32"/>
          <w:szCs w:val="32"/>
        </w:rPr>
        <w:t>95.4%</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 38.6 </w:t>
      </w:r>
      <w:r>
        <w:rPr>
          <w:rStyle w:val="17"/>
          <w:rFonts w:hint="eastAsia" w:ascii="楷体" w:hAnsi="楷体" w:eastAsia="楷体"/>
          <w:spacing w:val="-4"/>
          <w:sz w:val="32"/>
          <w:szCs w:val="32"/>
        </w:rPr>
        <w:br/>
      </w:r>
      <w:r>
        <w:rPr>
          <w:rStyle w:val="17"/>
          <w:rFonts w:hint="eastAsia" w:ascii="楷体" w:hAnsi="楷体" w:eastAsia="楷体"/>
          <w:spacing w:val="-4"/>
          <w:sz w:val="32"/>
          <w:szCs w:val="32"/>
        </w:rPr>
        <w:t>C.项目效益</w:t>
      </w:r>
      <w:r>
        <w:rPr>
          <w:rStyle w:val="17"/>
          <w:rFonts w:hint="eastAsia" w:ascii="楷体" w:hAnsi="楷体" w:eastAsia="楷体"/>
          <w:spacing w:val="-4"/>
          <w:sz w:val="32"/>
          <w:szCs w:val="32"/>
        </w:rPr>
        <w:tab/>
      </w:r>
      <w:r>
        <w:rPr>
          <w:rStyle w:val="17"/>
          <w:rFonts w:hint="eastAsia" w:ascii="楷体" w:hAnsi="楷体" w:eastAsia="楷体"/>
          <w:spacing w:val="-4"/>
          <w:sz w:val="32"/>
          <w:szCs w:val="32"/>
        </w:rPr>
        <w:t>40</w:t>
      </w:r>
      <w:r>
        <w:rPr>
          <w:rStyle w:val="17"/>
          <w:rFonts w:hint="eastAsia" w:ascii="楷体" w:hAnsi="楷体" w:eastAsia="楷体"/>
          <w:spacing w:val="-4"/>
          <w:sz w:val="32"/>
          <w:szCs w:val="32"/>
        </w:rPr>
        <w:tab/>
      </w:r>
      <w:r>
        <w:rPr>
          <w:rStyle w:val="17"/>
          <w:rFonts w:hint="eastAsia" w:ascii="楷体" w:hAnsi="楷体" w:eastAsia="楷体"/>
          <w:spacing w:val="-4"/>
          <w:sz w:val="32"/>
          <w:szCs w:val="32"/>
        </w:rPr>
        <w:t>95%</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40  </w:t>
      </w:r>
      <w:r>
        <w:rPr>
          <w:rStyle w:val="17"/>
          <w:rFonts w:hint="eastAsia" w:ascii="楷体" w:hAnsi="楷体" w:eastAsia="楷体"/>
          <w:spacing w:val="-4"/>
          <w:sz w:val="32"/>
          <w:szCs w:val="32"/>
        </w:rPr>
        <w:br/>
      </w:r>
      <w:r>
        <w:rPr>
          <w:rStyle w:val="17"/>
          <w:rFonts w:hint="eastAsia" w:ascii="楷体" w:hAnsi="楷体" w:eastAsia="楷体"/>
          <w:spacing w:val="-4"/>
          <w:sz w:val="32"/>
          <w:szCs w:val="32"/>
        </w:rPr>
        <w:t>D.项目满意度</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100%</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10 </w:t>
      </w:r>
      <w:r>
        <w:rPr>
          <w:rStyle w:val="17"/>
          <w:rFonts w:hint="eastAsia" w:ascii="楷体" w:hAnsi="楷体" w:eastAsia="楷体"/>
          <w:spacing w:val="-4"/>
          <w:sz w:val="32"/>
          <w:szCs w:val="32"/>
        </w:rPr>
        <w:br/>
      </w:r>
      <w:r>
        <w:rPr>
          <w:rStyle w:val="17"/>
          <w:rFonts w:hint="eastAsia" w:ascii="楷体" w:hAnsi="楷体" w:eastAsia="楷体"/>
          <w:spacing w:val="-4"/>
          <w:sz w:val="32"/>
          <w:szCs w:val="32"/>
        </w:rPr>
        <w:t>合  计</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100</w:t>
      </w:r>
      <w:r>
        <w:rPr>
          <w:rStyle w:val="17"/>
          <w:rFonts w:hint="eastAsia" w:ascii="楷体" w:hAnsi="楷体" w:eastAsia="楷体"/>
          <w:spacing w:val="-4"/>
          <w:sz w:val="32"/>
          <w:szCs w:val="32"/>
        </w:rPr>
        <w:tab/>
      </w:r>
      <w:r>
        <w:rPr>
          <w:rStyle w:val="17"/>
          <w:rFonts w:hint="eastAsia" w:ascii="楷体" w:hAnsi="楷体" w:eastAsia="楷体"/>
          <w:spacing w:val="-4"/>
          <w:sz w:val="32"/>
          <w:szCs w:val="32"/>
        </w:rPr>
        <w:t>97.08%</w:t>
      </w:r>
      <w:r>
        <w:rPr>
          <w:rStyle w:val="17"/>
          <w:rFonts w:hint="eastAsia" w:ascii="楷体" w:hAnsi="楷体" w:eastAsia="楷体"/>
          <w:spacing w:val="-4"/>
          <w:sz w:val="32"/>
          <w:szCs w:val="32"/>
        </w:rPr>
        <w:tab/>
      </w:r>
      <w:r>
        <w:rPr>
          <w:rStyle w:val="17"/>
          <w:rFonts w:hint="eastAsia" w:ascii="楷体" w:hAnsi="楷体" w:eastAsia="楷体"/>
          <w:spacing w:val="-4"/>
          <w:sz w:val="32"/>
          <w:szCs w:val="32"/>
        </w:rPr>
        <w:t>98.6</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w:t>
      </w:r>
      <w:r>
        <w:rPr>
          <w:rStyle w:val="17"/>
          <w:rFonts w:hint="eastAsia"/>
          <w:spacing w:val="-4"/>
          <w:sz w:val="32"/>
          <w:szCs w:val="32"/>
        </w:rPr>
        <w:t>绩效评价指标分析</w:t>
      </w:r>
      <w:r>
        <w:rPr>
          <w:rStyle w:val="17"/>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xml:space="preserve">项目决策指标从决策依据、目标内容、资金投入3个方面对项目的决策目标完成情况进行评价，项目决策类指标分值10分，实际得分10分，得分率100%。项目决策指标得分情况如表所示。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项目决策指标得分情况  </w:t>
      </w:r>
      <w:r>
        <w:rPr>
          <w:rStyle w:val="17"/>
          <w:rFonts w:hint="eastAsia" w:ascii="楷体" w:hAnsi="楷体" w:eastAsia="楷体"/>
          <w:spacing w:val="-4"/>
          <w:sz w:val="32"/>
          <w:szCs w:val="32"/>
        </w:rPr>
        <w:br/>
      </w:r>
      <w:r>
        <w:rPr>
          <w:rStyle w:val="17"/>
          <w:rFonts w:hint="eastAsia" w:ascii="楷体" w:hAnsi="楷体" w:eastAsia="楷体"/>
          <w:spacing w:val="-4"/>
          <w:sz w:val="32"/>
          <w:szCs w:val="32"/>
        </w:rPr>
        <w:t>一级指标</w:t>
      </w:r>
      <w:r>
        <w:rPr>
          <w:rStyle w:val="17"/>
          <w:rFonts w:hint="eastAsia" w:ascii="楷体" w:hAnsi="楷体" w:eastAsia="楷体"/>
          <w:spacing w:val="-4"/>
          <w:sz w:val="32"/>
          <w:szCs w:val="32"/>
        </w:rPr>
        <w:tab/>
      </w:r>
      <w:r>
        <w:rPr>
          <w:rStyle w:val="17"/>
          <w:rFonts w:hint="eastAsia" w:ascii="楷体" w:hAnsi="楷体" w:eastAsia="楷体"/>
          <w:spacing w:val="-4"/>
          <w:sz w:val="32"/>
          <w:szCs w:val="32"/>
        </w:rPr>
        <w:t>权重</w:t>
      </w:r>
      <w:r>
        <w:rPr>
          <w:rStyle w:val="17"/>
          <w:rFonts w:hint="eastAsia" w:ascii="楷体" w:hAnsi="楷体" w:eastAsia="楷体"/>
          <w:spacing w:val="-4"/>
          <w:sz w:val="32"/>
          <w:szCs w:val="32"/>
        </w:rPr>
        <w:tab/>
      </w:r>
      <w:r>
        <w:rPr>
          <w:rStyle w:val="17"/>
          <w:rFonts w:hint="eastAsia" w:ascii="楷体" w:hAnsi="楷体" w:eastAsia="楷体"/>
          <w:spacing w:val="-4"/>
          <w:sz w:val="32"/>
          <w:szCs w:val="32"/>
        </w:rPr>
        <w:t>得分率</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实际得分  </w:t>
      </w:r>
      <w:r>
        <w:rPr>
          <w:rStyle w:val="17"/>
          <w:rFonts w:hint="eastAsia" w:ascii="楷体" w:hAnsi="楷体" w:eastAsia="楷体"/>
          <w:spacing w:val="-4"/>
          <w:sz w:val="32"/>
          <w:szCs w:val="32"/>
        </w:rPr>
        <w:br/>
      </w:r>
      <w:r>
        <w:rPr>
          <w:rStyle w:val="17"/>
          <w:rFonts w:hint="eastAsia" w:ascii="楷体" w:hAnsi="楷体" w:eastAsia="楷体"/>
          <w:spacing w:val="-4"/>
          <w:sz w:val="32"/>
          <w:szCs w:val="32"/>
        </w:rPr>
        <w:t>A.项目立项</w:t>
      </w:r>
      <w:r>
        <w:rPr>
          <w:rStyle w:val="17"/>
          <w:rFonts w:hint="eastAsia" w:ascii="楷体" w:hAnsi="楷体" w:eastAsia="楷体"/>
          <w:spacing w:val="-4"/>
          <w:sz w:val="32"/>
          <w:szCs w:val="32"/>
        </w:rPr>
        <w:tab/>
      </w:r>
      <w:r>
        <w:rPr>
          <w:rStyle w:val="17"/>
          <w:rFonts w:hint="eastAsia" w:ascii="楷体" w:hAnsi="楷体" w:eastAsia="楷体"/>
          <w:spacing w:val="-4"/>
          <w:sz w:val="32"/>
          <w:szCs w:val="32"/>
        </w:rPr>
        <w:t>5</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100%</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5  </w:t>
      </w:r>
      <w:r>
        <w:rPr>
          <w:rStyle w:val="17"/>
          <w:rFonts w:hint="eastAsia" w:ascii="楷体" w:hAnsi="楷体" w:eastAsia="楷体"/>
          <w:spacing w:val="-4"/>
          <w:sz w:val="32"/>
          <w:szCs w:val="32"/>
        </w:rPr>
        <w:br/>
      </w:r>
      <w:r>
        <w:rPr>
          <w:rStyle w:val="17"/>
          <w:rFonts w:hint="eastAsia" w:ascii="楷体" w:hAnsi="楷体" w:eastAsia="楷体"/>
          <w:spacing w:val="-4"/>
          <w:sz w:val="32"/>
          <w:szCs w:val="32"/>
        </w:rPr>
        <w:t>B.绩效目标</w:t>
      </w:r>
      <w:r>
        <w:rPr>
          <w:rStyle w:val="17"/>
          <w:rFonts w:hint="eastAsia" w:ascii="楷体" w:hAnsi="楷体" w:eastAsia="楷体"/>
          <w:spacing w:val="-4"/>
          <w:sz w:val="32"/>
          <w:szCs w:val="32"/>
        </w:rPr>
        <w:tab/>
      </w:r>
      <w:r>
        <w:rPr>
          <w:rStyle w:val="17"/>
          <w:rFonts w:hint="eastAsia" w:ascii="楷体" w:hAnsi="楷体" w:eastAsia="楷体"/>
          <w:spacing w:val="-4"/>
          <w:sz w:val="32"/>
          <w:szCs w:val="32"/>
        </w:rPr>
        <w:t>3</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100%</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3  </w:t>
      </w:r>
      <w:r>
        <w:rPr>
          <w:rStyle w:val="17"/>
          <w:rFonts w:hint="eastAsia" w:ascii="楷体" w:hAnsi="楷体" w:eastAsia="楷体"/>
          <w:spacing w:val="-4"/>
          <w:sz w:val="32"/>
          <w:szCs w:val="32"/>
        </w:rPr>
        <w:br/>
      </w:r>
      <w:r>
        <w:rPr>
          <w:rStyle w:val="17"/>
          <w:rFonts w:hint="eastAsia" w:ascii="楷体" w:hAnsi="楷体" w:eastAsia="楷体"/>
          <w:spacing w:val="-4"/>
          <w:sz w:val="32"/>
          <w:szCs w:val="32"/>
        </w:rPr>
        <w:t>C.资金投入</w:t>
      </w:r>
      <w:r>
        <w:rPr>
          <w:rStyle w:val="17"/>
          <w:rFonts w:hint="eastAsia" w:ascii="楷体" w:hAnsi="楷体" w:eastAsia="楷体"/>
          <w:spacing w:val="-4"/>
          <w:sz w:val="32"/>
          <w:szCs w:val="32"/>
        </w:rPr>
        <w:tab/>
      </w:r>
      <w:r>
        <w:rPr>
          <w:rStyle w:val="17"/>
          <w:rFonts w:hint="eastAsia" w:ascii="楷体" w:hAnsi="楷体" w:eastAsia="楷体"/>
          <w:spacing w:val="-4"/>
          <w:sz w:val="32"/>
          <w:szCs w:val="32"/>
        </w:rPr>
        <w:t>2</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100%</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2  </w:t>
      </w:r>
      <w:r>
        <w:rPr>
          <w:rStyle w:val="17"/>
          <w:rFonts w:hint="eastAsia" w:ascii="楷体" w:hAnsi="楷体" w:eastAsia="楷体"/>
          <w:spacing w:val="-4"/>
          <w:sz w:val="32"/>
          <w:szCs w:val="32"/>
        </w:rPr>
        <w:br/>
      </w:r>
      <w:r>
        <w:rPr>
          <w:rStyle w:val="17"/>
          <w:rFonts w:hint="eastAsia" w:ascii="楷体" w:hAnsi="楷体" w:eastAsia="楷体"/>
          <w:spacing w:val="-4"/>
          <w:sz w:val="32"/>
          <w:szCs w:val="32"/>
        </w:rPr>
        <w:t>合  计</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100%</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10  </w:t>
      </w:r>
      <w:r>
        <w:rPr>
          <w:rStyle w:val="17"/>
          <w:rFonts w:hint="eastAsia" w:ascii="楷体" w:hAnsi="楷体" w:eastAsia="楷体"/>
          <w:spacing w:val="-4"/>
          <w:sz w:val="32"/>
          <w:szCs w:val="32"/>
        </w:rPr>
        <w:br/>
      </w:r>
      <w:r>
        <w:rPr>
          <w:rStyle w:val="17"/>
          <w:rFonts w:hint="eastAsia" w:ascii="楷体" w:hAnsi="楷体" w:eastAsia="楷体"/>
          <w:spacing w:val="-4"/>
          <w:sz w:val="32"/>
          <w:szCs w:val="32"/>
        </w:rPr>
        <w:t>经过论证，我们认为审计业务经费，根据2022年度审计项目计划，以习近平新时代中国特色社会主义思想为指导，深入贯彻党的十九大和十九届二中、三中、四中、五中全会精神，贯彻落实第三次中央新疆工作座谈会精神、特别是习近平总书记关于新疆工作和审计工作的重要讲话和重要指示批示精神，坚持以党和国家工作大局作为审计工作的着力点，把握新疆高质量发展主题，紧紧围绕《自治区国民经济和社会发展第十四个五年规划和2035年远景目标纲要》明确的重点任务和自治区2022年经济工作部署，坚持党的工作重点抓什么，审计就审什么，将党对审计工作集中统一领导的各项要求贯彻落实到新发展阶段新疆审计工作的全过程各方面，重点加大对创新驱动发展、“十大产业”、全面深化改革、丝绸之路经济带核心区建设、防范化解重大风险、“十项惠民工程”、巩固拓展脱贫攻坚成果同乡村振兴有效衔接、重点投资项目等国家及自治区重大政策措施落实情况的审计力度。进一步完善审计制度机制，依法全面履行审计监督职责，做好常态化“经济体检”工作，做到应审尽审、凡审必严，切实推动治理、服务发展、维护安全，确保审计监督更加有力、更加有效。评价认为该项目年度计划方案完整，立项清晰，项目依据文件齐全，申报材料审批完整。根据评分标准，该指标得分20分，得分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xml:space="preserve">项目过程指标从项目资金管理情况、组织实施2个方面对项目的管理情况进行评价。项目过程指标分值20分，实际得分20分，得分率为100%。项目过程指标得分情况如表所示。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项目过程指标得分情况  </w:t>
      </w:r>
      <w:r>
        <w:rPr>
          <w:rStyle w:val="17"/>
          <w:rFonts w:hint="eastAsia" w:ascii="楷体" w:hAnsi="楷体" w:eastAsia="楷体"/>
          <w:spacing w:val="-4"/>
          <w:sz w:val="32"/>
          <w:szCs w:val="32"/>
        </w:rPr>
        <w:br/>
      </w:r>
      <w:r>
        <w:rPr>
          <w:rStyle w:val="17"/>
          <w:rFonts w:hint="eastAsia" w:ascii="楷体" w:hAnsi="楷体" w:eastAsia="楷体"/>
          <w:spacing w:val="-4"/>
          <w:sz w:val="32"/>
          <w:szCs w:val="32"/>
        </w:rPr>
        <w:t>一级指标</w:t>
      </w:r>
      <w:r>
        <w:rPr>
          <w:rStyle w:val="17"/>
          <w:rFonts w:hint="eastAsia" w:ascii="楷体" w:hAnsi="楷体" w:eastAsia="楷体"/>
          <w:spacing w:val="-4"/>
          <w:sz w:val="32"/>
          <w:szCs w:val="32"/>
        </w:rPr>
        <w:tab/>
      </w:r>
      <w:r>
        <w:rPr>
          <w:rStyle w:val="17"/>
          <w:rFonts w:hint="eastAsia" w:ascii="楷体" w:hAnsi="楷体" w:eastAsia="楷体"/>
          <w:spacing w:val="-4"/>
          <w:sz w:val="32"/>
          <w:szCs w:val="32"/>
        </w:rPr>
        <w:t>权重</w:t>
      </w:r>
      <w:r>
        <w:rPr>
          <w:rStyle w:val="17"/>
          <w:rFonts w:hint="eastAsia" w:ascii="楷体" w:hAnsi="楷体" w:eastAsia="楷体"/>
          <w:spacing w:val="-4"/>
          <w:sz w:val="32"/>
          <w:szCs w:val="32"/>
        </w:rPr>
        <w:tab/>
      </w:r>
      <w:r>
        <w:rPr>
          <w:rStyle w:val="17"/>
          <w:rFonts w:hint="eastAsia" w:ascii="楷体" w:hAnsi="楷体" w:eastAsia="楷体"/>
          <w:spacing w:val="-4"/>
          <w:sz w:val="32"/>
          <w:szCs w:val="32"/>
        </w:rPr>
        <w:t>得分率</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实际得分  </w:t>
      </w:r>
      <w:r>
        <w:rPr>
          <w:rStyle w:val="17"/>
          <w:rFonts w:hint="eastAsia" w:ascii="楷体" w:hAnsi="楷体" w:eastAsia="楷体"/>
          <w:spacing w:val="-4"/>
          <w:sz w:val="32"/>
          <w:szCs w:val="32"/>
        </w:rPr>
        <w:br/>
      </w:r>
      <w:r>
        <w:rPr>
          <w:rStyle w:val="17"/>
          <w:rFonts w:hint="eastAsia" w:ascii="楷体" w:hAnsi="楷体" w:eastAsia="楷体"/>
          <w:spacing w:val="-4"/>
          <w:sz w:val="32"/>
          <w:szCs w:val="32"/>
        </w:rPr>
        <w:t>A.资金管理</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w:t>
      </w:r>
      <w:r>
        <w:rPr>
          <w:rStyle w:val="17"/>
          <w:rFonts w:hint="eastAsia" w:ascii="楷体" w:hAnsi="楷体" w:eastAsia="楷体"/>
          <w:spacing w:val="-4"/>
          <w:sz w:val="32"/>
          <w:szCs w:val="32"/>
        </w:rPr>
        <w:tab/>
      </w:r>
      <w:r>
        <w:rPr>
          <w:rStyle w:val="17"/>
          <w:rFonts w:hint="eastAsia" w:ascii="楷体" w:hAnsi="楷体" w:eastAsia="楷体"/>
          <w:spacing w:val="-4"/>
          <w:sz w:val="32"/>
          <w:szCs w:val="32"/>
        </w:rPr>
        <w:t>90%</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10 </w:t>
      </w:r>
      <w:r>
        <w:rPr>
          <w:rStyle w:val="17"/>
          <w:rFonts w:hint="eastAsia" w:ascii="楷体" w:hAnsi="楷体" w:eastAsia="楷体"/>
          <w:spacing w:val="-4"/>
          <w:sz w:val="32"/>
          <w:szCs w:val="32"/>
        </w:rPr>
        <w:br/>
      </w:r>
      <w:r>
        <w:rPr>
          <w:rStyle w:val="17"/>
          <w:rFonts w:hint="eastAsia" w:ascii="楷体" w:hAnsi="楷体" w:eastAsia="楷体"/>
          <w:spacing w:val="-4"/>
          <w:sz w:val="32"/>
          <w:szCs w:val="32"/>
        </w:rPr>
        <w:t>B.组织实施</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100%</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10  </w:t>
      </w:r>
      <w:r>
        <w:rPr>
          <w:rStyle w:val="17"/>
          <w:rFonts w:hint="eastAsia" w:ascii="楷体" w:hAnsi="楷体" w:eastAsia="楷体"/>
          <w:spacing w:val="-4"/>
          <w:sz w:val="32"/>
          <w:szCs w:val="32"/>
        </w:rPr>
        <w:br/>
      </w:r>
      <w:r>
        <w:rPr>
          <w:rStyle w:val="17"/>
          <w:rFonts w:hint="eastAsia" w:ascii="楷体" w:hAnsi="楷体" w:eastAsia="楷体"/>
          <w:spacing w:val="-4"/>
          <w:sz w:val="32"/>
          <w:szCs w:val="32"/>
        </w:rPr>
        <w:t>合  计</w:t>
      </w:r>
      <w:r>
        <w:rPr>
          <w:rStyle w:val="17"/>
          <w:rFonts w:hint="eastAsia" w:ascii="楷体" w:hAnsi="楷体" w:eastAsia="楷体"/>
          <w:spacing w:val="-4"/>
          <w:sz w:val="32"/>
          <w:szCs w:val="32"/>
        </w:rPr>
        <w:tab/>
      </w:r>
      <w:r>
        <w:rPr>
          <w:rStyle w:val="17"/>
          <w:rFonts w:hint="eastAsia" w:ascii="楷体" w:hAnsi="楷体" w:eastAsia="楷体"/>
          <w:spacing w:val="-4"/>
          <w:sz w:val="32"/>
          <w:szCs w:val="32"/>
        </w:rPr>
        <w:t>20</w:t>
      </w:r>
      <w:r>
        <w:rPr>
          <w:rStyle w:val="17"/>
          <w:rFonts w:hint="eastAsia" w:ascii="楷体" w:hAnsi="楷体" w:eastAsia="楷体"/>
          <w:spacing w:val="-4"/>
          <w:sz w:val="32"/>
          <w:szCs w:val="32"/>
        </w:rPr>
        <w:tab/>
      </w:r>
      <w:r>
        <w:rPr>
          <w:rStyle w:val="17"/>
          <w:rFonts w:hint="eastAsia" w:ascii="楷体" w:hAnsi="楷体" w:eastAsia="楷体"/>
          <w:spacing w:val="-4"/>
          <w:sz w:val="32"/>
          <w:szCs w:val="32"/>
        </w:rPr>
        <w:t>90%</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20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对于资金管理方面，审计业务经费项目2022年列入财政资金预算，资金到位及时，到位率为100%，资金使用合法、合规。根据评分标准，该指标不扣分。  </w:t>
      </w:r>
      <w:r>
        <w:rPr>
          <w:rStyle w:val="17"/>
          <w:rFonts w:hint="eastAsia" w:ascii="楷体" w:hAnsi="楷体" w:eastAsia="楷体"/>
          <w:spacing w:val="-4"/>
          <w:sz w:val="32"/>
          <w:szCs w:val="32"/>
        </w:rPr>
        <w:br/>
      </w:r>
      <w:r>
        <w:rPr>
          <w:rStyle w:val="17"/>
          <w:rFonts w:hint="eastAsia" w:ascii="楷体" w:hAnsi="楷体" w:eastAsia="楷体"/>
          <w:spacing w:val="-4"/>
          <w:sz w:val="32"/>
          <w:szCs w:val="32"/>
        </w:rPr>
        <w:t>对于组织实施方面，审计厅管理制度健全，分工明确，制度执行不存在不相容岗位兼任情况。根据评分标准，该指标不扣分。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xml:space="preserve">项目绩效主要从项目产出的产出数量、产出质量2个方面对项目的绩效情况进行评价。项目产出类指标分值40分，实际得分38.6分，得分率为96.5%。项目绩效指标得分情况如表所示。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项目决策指标得分情况  </w:t>
      </w:r>
      <w:r>
        <w:rPr>
          <w:rStyle w:val="17"/>
          <w:rFonts w:hint="eastAsia" w:ascii="楷体" w:hAnsi="楷体" w:eastAsia="楷体"/>
          <w:spacing w:val="-4"/>
          <w:sz w:val="32"/>
          <w:szCs w:val="32"/>
        </w:rPr>
        <w:br/>
      </w:r>
      <w:r>
        <w:rPr>
          <w:rStyle w:val="17"/>
          <w:rFonts w:hint="eastAsia" w:ascii="楷体" w:hAnsi="楷体" w:eastAsia="楷体"/>
          <w:spacing w:val="-4"/>
          <w:sz w:val="32"/>
          <w:szCs w:val="32"/>
        </w:rPr>
        <w:t>二级指标</w:t>
      </w:r>
      <w:r>
        <w:rPr>
          <w:rStyle w:val="17"/>
          <w:rFonts w:hint="eastAsia" w:ascii="楷体" w:hAnsi="楷体" w:eastAsia="楷体"/>
          <w:spacing w:val="-4"/>
          <w:sz w:val="32"/>
          <w:szCs w:val="32"/>
        </w:rPr>
        <w:tab/>
      </w:r>
      <w:r>
        <w:rPr>
          <w:rStyle w:val="17"/>
          <w:rFonts w:hint="eastAsia" w:ascii="楷体" w:hAnsi="楷体" w:eastAsia="楷体"/>
          <w:spacing w:val="-4"/>
          <w:sz w:val="32"/>
          <w:szCs w:val="32"/>
        </w:rPr>
        <w:t>三级指标</w:t>
      </w:r>
      <w:r>
        <w:rPr>
          <w:rStyle w:val="17"/>
          <w:rFonts w:hint="eastAsia" w:ascii="楷体" w:hAnsi="楷体" w:eastAsia="楷体"/>
          <w:spacing w:val="-4"/>
          <w:sz w:val="32"/>
          <w:szCs w:val="32"/>
        </w:rPr>
        <w:tab/>
      </w:r>
      <w:r>
        <w:rPr>
          <w:rStyle w:val="17"/>
          <w:rFonts w:hint="eastAsia" w:ascii="楷体" w:hAnsi="楷体" w:eastAsia="楷体"/>
          <w:spacing w:val="-4"/>
          <w:sz w:val="32"/>
          <w:szCs w:val="32"/>
        </w:rPr>
        <w:t>权重</w:t>
      </w:r>
      <w:r>
        <w:rPr>
          <w:rStyle w:val="17"/>
          <w:rFonts w:hint="eastAsia" w:ascii="楷体" w:hAnsi="楷体" w:eastAsia="楷体"/>
          <w:spacing w:val="-4"/>
          <w:sz w:val="32"/>
          <w:szCs w:val="32"/>
        </w:rPr>
        <w:tab/>
      </w:r>
      <w:r>
        <w:rPr>
          <w:rStyle w:val="17"/>
          <w:rFonts w:hint="eastAsia" w:ascii="楷体" w:hAnsi="楷体" w:eastAsia="楷体"/>
          <w:spacing w:val="-4"/>
          <w:sz w:val="32"/>
          <w:szCs w:val="32"/>
        </w:rPr>
        <w:t>得分率</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得分  </w:t>
      </w:r>
      <w:r>
        <w:rPr>
          <w:rStyle w:val="17"/>
          <w:rFonts w:hint="eastAsia" w:ascii="楷体" w:hAnsi="楷体" w:eastAsia="楷体"/>
          <w:spacing w:val="-4"/>
          <w:sz w:val="32"/>
          <w:szCs w:val="32"/>
        </w:rPr>
        <w:br/>
      </w:r>
      <w:r>
        <w:rPr>
          <w:rStyle w:val="17"/>
          <w:rFonts w:hint="eastAsia" w:ascii="楷体" w:hAnsi="楷体" w:eastAsia="楷体"/>
          <w:spacing w:val="-4"/>
          <w:sz w:val="32"/>
          <w:szCs w:val="32"/>
        </w:rPr>
        <w:t>A.产出数量(40分)</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被审计单位数量 </w:t>
      </w:r>
      <w:r>
        <w:rPr>
          <w:rStyle w:val="17"/>
          <w:rFonts w:hint="eastAsia" w:ascii="楷体" w:hAnsi="楷体" w:eastAsia="楷体"/>
          <w:spacing w:val="-4"/>
          <w:sz w:val="32"/>
          <w:szCs w:val="32"/>
        </w:rPr>
        <w:tab/>
      </w:r>
      <w:r>
        <w:rPr>
          <w:rStyle w:val="17"/>
          <w:rFonts w:hint="eastAsia" w:ascii="楷体" w:hAnsi="楷体" w:eastAsia="楷体"/>
          <w:spacing w:val="-4"/>
          <w:sz w:val="32"/>
          <w:szCs w:val="32"/>
        </w:rPr>
        <w:t>5</w:t>
      </w:r>
      <w:r>
        <w:rPr>
          <w:rStyle w:val="17"/>
          <w:rFonts w:hint="eastAsia" w:ascii="楷体" w:hAnsi="楷体" w:eastAsia="楷体"/>
          <w:spacing w:val="-4"/>
          <w:sz w:val="32"/>
          <w:szCs w:val="32"/>
        </w:rPr>
        <w:tab/>
      </w:r>
      <w:r>
        <w:rPr>
          <w:rStyle w:val="17"/>
          <w:rFonts w:hint="eastAsia" w:ascii="楷体" w:hAnsi="楷体" w:eastAsia="楷体"/>
          <w:spacing w:val="-4"/>
          <w:sz w:val="32"/>
          <w:szCs w:val="32"/>
        </w:rPr>
        <w:t>72%</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3.6  </w:t>
      </w:r>
      <w:r>
        <w:rPr>
          <w:rStyle w:val="17"/>
          <w:rFonts w:hint="eastAsia" w:ascii="楷体" w:hAnsi="楷体" w:eastAsia="楷体"/>
          <w:spacing w:val="-4"/>
          <w:sz w:val="32"/>
          <w:szCs w:val="32"/>
        </w:rPr>
        <w:br/>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提交各类审计报告和信息简报数量 </w:t>
      </w:r>
      <w:r>
        <w:rPr>
          <w:rStyle w:val="17"/>
          <w:rFonts w:hint="eastAsia" w:ascii="楷体" w:hAnsi="楷体" w:eastAsia="楷体"/>
          <w:spacing w:val="-4"/>
          <w:sz w:val="32"/>
          <w:szCs w:val="32"/>
        </w:rPr>
        <w:tab/>
      </w:r>
      <w:r>
        <w:rPr>
          <w:rStyle w:val="17"/>
          <w:rFonts w:hint="eastAsia" w:ascii="楷体" w:hAnsi="楷体" w:eastAsia="楷体"/>
          <w:spacing w:val="-4"/>
          <w:sz w:val="32"/>
          <w:szCs w:val="32"/>
        </w:rPr>
        <w:t>5  100%</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5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 </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政府购买服务数量 </w:t>
      </w:r>
      <w:r>
        <w:rPr>
          <w:rStyle w:val="17"/>
          <w:rFonts w:hint="eastAsia" w:ascii="楷体" w:hAnsi="楷体" w:eastAsia="楷体"/>
          <w:spacing w:val="-4"/>
          <w:sz w:val="32"/>
          <w:szCs w:val="32"/>
        </w:rPr>
        <w:tab/>
      </w:r>
      <w:r>
        <w:rPr>
          <w:rStyle w:val="17"/>
          <w:rFonts w:hint="eastAsia" w:ascii="楷体" w:hAnsi="楷体" w:eastAsia="楷体"/>
          <w:spacing w:val="-4"/>
          <w:sz w:val="32"/>
          <w:szCs w:val="32"/>
        </w:rPr>
        <w:t>5</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100%</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5  </w:t>
      </w:r>
      <w:r>
        <w:rPr>
          <w:rStyle w:val="17"/>
          <w:rFonts w:hint="eastAsia" w:ascii="楷体" w:hAnsi="楷体" w:eastAsia="楷体"/>
          <w:spacing w:val="-4"/>
          <w:sz w:val="32"/>
          <w:szCs w:val="32"/>
        </w:rPr>
        <w:br/>
      </w:r>
      <w:r>
        <w:rPr>
          <w:rStyle w:val="17"/>
          <w:rFonts w:hint="eastAsia" w:ascii="楷体" w:hAnsi="楷体" w:eastAsia="楷体"/>
          <w:spacing w:val="-4"/>
          <w:sz w:val="32"/>
          <w:szCs w:val="32"/>
        </w:rPr>
        <w:tab/>
      </w:r>
      <w:r>
        <w:rPr>
          <w:rStyle w:val="17"/>
          <w:rFonts w:hint="eastAsia" w:ascii="楷体" w:hAnsi="楷体" w:eastAsia="楷体"/>
          <w:spacing w:val="-4"/>
          <w:sz w:val="32"/>
          <w:szCs w:val="32"/>
        </w:rPr>
        <w:t>信息化建设基础设施运维</w:t>
      </w:r>
      <w:r>
        <w:rPr>
          <w:rStyle w:val="17"/>
          <w:rFonts w:hint="eastAsia" w:ascii="楷体" w:hAnsi="楷体" w:eastAsia="楷体"/>
          <w:spacing w:val="-4"/>
          <w:sz w:val="32"/>
          <w:szCs w:val="32"/>
        </w:rPr>
        <w:tab/>
      </w:r>
      <w:r>
        <w:rPr>
          <w:rStyle w:val="17"/>
          <w:rFonts w:hint="eastAsia" w:ascii="楷体" w:hAnsi="楷体" w:eastAsia="楷体"/>
          <w:spacing w:val="-4"/>
          <w:sz w:val="32"/>
          <w:szCs w:val="32"/>
        </w:rPr>
        <w:t>5</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100%</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5  </w:t>
      </w:r>
      <w:r>
        <w:rPr>
          <w:rStyle w:val="17"/>
          <w:rFonts w:hint="eastAsia" w:ascii="楷体" w:hAnsi="楷体" w:eastAsia="楷体"/>
          <w:spacing w:val="-4"/>
          <w:sz w:val="32"/>
          <w:szCs w:val="32"/>
        </w:rPr>
        <w:br/>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被审计单位对审计建议采纳比例 </w:t>
      </w:r>
      <w:r>
        <w:rPr>
          <w:rStyle w:val="17"/>
          <w:rFonts w:hint="eastAsia" w:ascii="楷体" w:hAnsi="楷体" w:eastAsia="楷体"/>
          <w:spacing w:val="-4"/>
          <w:sz w:val="32"/>
          <w:szCs w:val="32"/>
        </w:rPr>
        <w:tab/>
      </w:r>
      <w:r>
        <w:rPr>
          <w:rStyle w:val="17"/>
          <w:rFonts w:hint="eastAsia" w:ascii="楷体" w:hAnsi="楷体" w:eastAsia="楷体"/>
          <w:spacing w:val="-4"/>
          <w:sz w:val="32"/>
          <w:szCs w:val="32"/>
        </w:rPr>
        <w:t>5</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100%</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5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   系统故障率 </w:t>
      </w:r>
      <w:r>
        <w:rPr>
          <w:rStyle w:val="17"/>
          <w:rFonts w:hint="eastAsia" w:ascii="楷体" w:hAnsi="楷体" w:eastAsia="楷体"/>
          <w:spacing w:val="-4"/>
          <w:sz w:val="32"/>
          <w:szCs w:val="32"/>
        </w:rPr>
        <w:tab/>
      </w:r>
      <w:r>
        <w:rPr>
          <w:rStyle w:val="17"/>
          <w:rFonts w:hint="eastAsia" w:ascii="楷体" w:hAnsi="楷体" w:eastAsia="楷体"/>
          <w:spacing w:val="-4"/>
          <w:sz w:val="32"/>
          <w:szCs w:val="32"/>
        </w:rPr>
        <w:t>5  100%</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5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 </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系统故障修复处理时间 </w:t>
      </w:r>
      <w:r>
        <w:rPr>
          <w:rStyle w:val="17"/>
          <w:rFonts w:hint="eastAsia" w:ascii="楷体" w:hAnsi="楷体" w:eastAsia="楷体"/>
          <w:spacing w:val="-4"/>
          <w:sz w:val="32"/>
          <w:szCs w:val="32"/>
        </w:rPr>
        <w:tab/>
      </w:r>
      <w:r>
        <w:rPr>
          <w:rStyle w:val="17"/>
          <w:rFonts w:hint="eastAsia" w:ascii="楷体" w:hAnsi="楷体" w:eastAsia="楷体"/>
          <w:spacing w:val="-4"/>
          <w:sz w:val="32"/>
          <w:szCs w:val="32"/>
        </w:rPr>
        <w:t>2</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100%</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2 </w:t>
      </w:r>
      <w:r>
        <w:rPr>
          <w:rStyle w:val="17"/>
          <w:rFonts w:hint="eastAsia" w:ascii="楷体" w:hAnsi="楷体" w:eastAsia="楷体"/>
          <w:spacing w:val="-4"/>
          <w:sz w:val="32"/>
          <w:szCs w:val="32"/>
        </w:rPr>
        <w:br/>
      </w:r>
      <w:r>
        <w:rPr>
          <w:rStyle w:val="17"/>
          <w:rFonts w:hint="eastAsia" w:ascii="楷体" w:hAnsi="楷体" w:eastAsia="楷体"/>
          <w:spacing w:val="-4"/>
          <w:sz w:val="32"/>
          <w:szCs w:val="32"/>
        </w:rPr>
        <w:tab/>
      </w:r>
      <w:r>
        <w:rPr>
          <w:rStyle w:val="17"/>
          <w:rFonts w:hint="eastAsia" w:ascii="楷体" w:hAnsi="楷体" w:eastAsia="楷体"/>
          <w:spacing w:val="-4"/>
          <w:sz w:val="32"/>
          <w:szCs w:val="32"/>
        </w:rPr>
        <w:t>系统运行维护响应时间</w:t>
      </w:r>
      <w:r>
        <w:rPr>
          <w:rStyle w:val="17"/>
          <w:rFonts w:hint="eastAsia" w:ascii="楷体" w:hAnsi="楷体" w:eastAsia="楷体"/>
          <w:spacing w:val="-4"/>
          <w:sz w:val="32"/>
          <w:szCs w:val="32"/>
        </w:rPr>
        <w:tab/>
      </w:r>
      <w:r>
        <w:rPr>
          <w:rStyle w:val="17"/>
          <w:rFonts w:hint="eastAsia" w:ascii="楷体" w:hAnsi="楷体" w:eastAsia="楷体"/>
          <w:spacing w:val="-4"/>
          <w:sz w:val="32"/>
          <w:szCs w:val="32"/>
        </w:rPr>
        <w:t>2</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100%</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2 </w:t>
      </w:r>
      <w:r>
        <w:rPr>
          <w:rStyle w:val="17"/>
          <w:rFonts w:hint="eastAsia" w:ascii="楷体" w:hAnsi="楷体" w:eastAsia="楷体"/>
          <w:spacing w:val="-4"/>
          <w:sz w:val="32"/>
          <w:szCs w:val="32"/>
        </w:rPr>
        <w:br/>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政府购买服务 </w:t>
      </w:r>
      <w:r>
        <w:rPr>
          <w:rStyle w:val="17"/>
          <w:rFonts w:hint="eastAsia" w:ascii="楷体" w:hAnsi="楷体" w:eastAsia="楷体"/>
          <w:spacing w:val="-4"/>
          <w:sz w:val="32"/>
          <w:szCs w:val="32"/>
        </w:rPr>
        <w:tab/>
      </w:r>
      <w:r>
        <w:rPr>
          <w:rStyle w:val="17"/>
          <w:rFonts w:hint="eastAsia" w:ascii="楷体" w:hAnsi="楷体" w:eastAsia="楷体"/>
          <w:spacing w:val="-4"/>
          <w:sz w:val="32"/>
          <w:szCs w:val="32"/>
        </w:rPr>
        <w:t>2</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100%</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2 </w:t>
      </w:r>
      <w:r>
        <w:rPr>
          <w:rStyle w:val="17"/>
          <w:rFonts w:hint="eastAsia" w:ascii="楷体" w:hAnsi="楷体" w:eastAsia="楷体"/>
          <w:spacing w:val="-4"/>
          <w:sz w:val="32"/>
          <w:szCs w:val="32"/>
        </w:rPr>
        <w:br/>
      </w:r>
      <w:r>
        <w:rPr>
          <w:rStyle w:val="17"/>
          <w:rFonts w:hint="eastAsia" w:ascii="楷体" w:hAnsi="楷体" w:eastAsia="楷体"/>
          <w:spacing w:val="-4"/>
          <w:sz w:val="32"/>
          <w:szCs w:val="32"/>
        </w:rPr>
        <w:tab/>
      </w:r>
      <w:r>
        <w:rPr>
          <w:rStyle w:val="17"/>
          <w:rFonts w:hint="eastAsia" w:ascii="楷体" w:hAnsi="楷体" w:eastAsia="楷体"/>
          <w:spacing w:val="-4"/>
          <w:sz w:val="32"/>
          <w:szCs w:val="32"/>
        </w:rPr>
        <w:t>审计工作经费  2  100%</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2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  信息化建设费用  2  100%</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2 </w:t>
      </w:r>
      <w:r>
        <w:rPr>
          <w:rStyle w:val="17"/>
          <w:rFonts w:hint="eastAsia" w:ascii="楷体" w:hAnsi="楷体" w:eastAsia="楷体"/>
          <w:spacing w:val="-4"/>
          <w:sz w:val="32"/>
          <w:szCs w:val="32"/>
        </w:rPr>
        <w:br/>
      </w:r>
      <w:r>
        <w:rPr>
          <w:rStyle w:val="17"/>
          <w:rFonts w:hint="eastAsia" w:ascii="楷体" w:hAnsi="楷体" w:eastAsia="楷体"/>
          <w:spacing w:val="-4"/>
          <w:sz w:val="32"/>
          <w:szCs w:val="32"/>
        </w:rPr>
        <w:t>合  计</w:t>
      </w:r>
      <w:r>
        <w:rPr>
          <w:rStyle w:val="17"/>
          <w:rFonts w:hint="eastAsia" w:ascii="楷体" w:hAnsi="楷体" w:eastAsia="楷体"/>
          <w:spacing w:val="-4"/>
          <w:sz w:val="32"/>
          <w:szCs w:val="32"/>
        </w:rPr>
        <w:tab/>
      </w:r>
      <w:r>
        <w:rPr>
          <w:rStyle w:val="17"/>
          <w:rFonts w:hint="eastAsia" w:ascii="楷体" w:hAnsi="楷体" w:eastAsia="楷体"/>
          <w:spacing w:val="-4"/>
          <w:sz w:val="32"/>
          <w:szCs w:val="32"/>
        </w:rPr>
        <w:t>40</w:t>
      </w:r>
      <w:r>
        <w:rPr>
          <w:rStyle w:val="17"/>
          <w:rFonts w:hint="eastAsia" w:ascii="楷体" w:hAnsi="楷体" w:eastAsia="楷体"/>
          <w:spacing w:val="-4"/>
          <w:sz w:val="32"/>
          <w:szCs w:val="32"/>
        </w:rPr>
        <w:tab/>
      </w:r>
      <w:r>
        <w:rPr>
          <w:rStyle w:val="17"/>
          <w:rFonts w:hint="eastAsia" w:ascii="楷体" w:hAnsi="楷体" w:eastAsia="楷体"/>
          <w:spacing w:val="-4"/>
          <w:sz w:val="32"/>
          <w:szCs w:val="32"/>
        </w:rPr>
        <w:t>96.5%</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38.6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科学制定年度审计项目100个，截至2021年12月底，完成审计项目73个，减少27个，减少27%；因受自治区党委领导的工作安排和疫情防控政策，项目完成指标未达标，根据评分标准，该指标扣1.4分。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根据年初设定的“产出质量”指标，（一）紧盯政策落实，推动政令畅通。根据中央及自治区工作部署，对财政直达资金、优化营商环境、职业教育等重大政策开展跟踪审计。揭示资金下达支付不及时、拖欠民营企业中小企业账款、违规收费或乱摊派、职业学校规划布局不合理等突出问题，查出问题金额113.56亿元，移送线索1条，督促相关单位加快资金支付进度、规范管理使用及清理拖欠市场主体等各类资金19.7亿元，完善规章制度38项，追责问责1人，有效推动中央及自治区重大决策部署落地见效。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二）紧盯财政管理，促进提质增效。以增强预算执行和财政收支的真实性、合法性和效益性为目标，对113个自治区本级一级预算单位2021年度预算执行和14个地（州、市）财政收支管理情况进行了审计。揭示预算编报不完整、过紧日子要求不到位、财政收支不规范等问题，查出问题金额1460.51亿元，移送线索5条，督促相关单位缴入国库、补征非税收入、清理盘活存量资金等800.67亿元，完善规章制度58项，追责问责119人，促进财政资金提质增效，真正把资金用在刀刃上。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三）紧盯乡村振兴，推动有效衔接。以促进惠农政策落实，持续推动夯实脱贫基础为目标，对自治区35个乡村振兴重点帮扶县相关政策落实和资金情况开展审计。揭示财政资金损失浪费、产业扶持政策落实不到位、帮扶项目资产资金管理不规范等问题，查出问题金额85.84亿元，拟移送线索19条，督促相关单位整改资金37.61亿元，完善规章制度73项，追责问责44人，推动各项惠民富民利民政策落实落地。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四）紧盯民生资金，兜牢民生底线。聚焦困难群众救助补助资金筹集、分配和使用等重点，对阿克苏、喀什2个地区困难群众救助补助情况开展审计。揭示未有效履行地方支出责任3068万元、扩大范围支出救助补助资金967万元、违规享受救助待遇302万元等问题，移送线索1条，督促相关单位整改资金5396万元，完善规章制度38项，追责问责170人，促进民生资金廉洁安全高效使用。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五）紧盯工程建设，促进规范管理。以推动政府投资项目规范有序运行为目标，对2021年水利资金管理使用和项目建设运营情况、自治区监狱管理局和戒毒管理局项目建设管理及沙雅县排水改造等国外贷援款项目开展审计。揭示项目建设进展缓慢、管理不规范、超概算建设等突出问题，查出问题金额53.77亿元，移送线索4条，督促相关单位整改资金21.21亿元，完善规章制度等16项，进一步促进自治区重大项目建设工作有效推进。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六）紧盯风险防范，推动源头治理。以有效防范化解风险为目标，对自治区农信社部分县（市）行社风险情况、新疆金融投资有限公司经营管理情况等开展审计。揭示国有资产经营管理不善、违规发放贷款、风险防控不到位等问题，查出问题金额138.47亿元，移送线索1条，督促相关单位整改资金9.41亿元，完善规章制度11项，切实做到精准识别、主动预警，筑牢经济社会发展安全屏障。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七）紧盯生态保护，促进绿色发展。以贯彻落实绿色发展理念为目标，重点关注11个地（州、市）党政主要领导干部履行生态文明建设职责情况，对2个地州、3个县市党政主要领导干部开展自然资源资产离任（任中）审计。揭示耕地“非农化”、建设用地集约节约化利用水平不高、矿产资源开发利用不规范等突出问题，查出违规金额9.02亿元，督促相关单位整改资金7655.29万元，建立和完善规划、规章制度等12项，为建设天蓝地绿水清的美丽新疆贡献审计力量。 </w:t>
      </w:r>
      <w:r>
        <w:rPr>
          <w:rStyle w:val="17"/>
          <w:rFonts w:hint="eastAsia" w:ascii="楷体" w:hAnsi="楷体" w:eastAsia="楷体"/>
          <w:spacing w:val="-4"/>
          <w:sz w:val="32"/>
          <w:szCs w:val="32"/>
        </w:rPr>
        <w:br/>
      </w:r>
      <w:r>
        <w:rPr>
          <w:rStyle w:val="17"/>
          <w:rFonts w:hint="eastAsia" w:ascii="楷体" w:hAnsi="楷体" w:eastAsia="楷体"/>
          <w:spacing w:val="-4"/>
          <w:sz w:val="32"/>
          <w:szCs w:val="32"/>
        </w:rPr>
        <w:t>（八）紧盯责任履行，规范权力运行。以强化领导干部管理监督，促进履职尽责为目标，紧盯“关键少数”，聚焦权力运行，对11个地（州、市）、14个县（市、区）和2个部门、1个企业的主要领导干部开展经济责任审计。揭示规划目标任务未完成、财政运行管理不规范、民生项目和资金管理不到位等突出问题，查出问题金额2102.47亿元，移送线索4条，督促相关单位整改资金778.18亿元，完善规章制度211项，追责问责54人，坚决遏制权力任性，防止权力滥用。设定的绩效目标、质量指标均已完成。根据评分标准，该指标不扣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xml:space="preserve">项目效益主要从项目实施效益、可持续影响2个方面对项目的绩效情况进行评价。项目绩效类指标分值20分，实际得分20分，得分率为100%。项目绩效指标得分情况如表所示。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项目效益指标得分情况  </w:t>
      </w:r>
      <w:r>
        <w:rPr>
          <w:rStyle w:val="17"/>
          <w:rFonts w:hint="eastAsia" w:ascii="楷体" w:hAnsi="楷体" w:eastAsia="楷体"/>
          <w:spacing w:val="-4"/>
          <w:sz w:val="32"/>
          <w:szCs w:val="32"/>
        </w:rPr>
        <w:br/>
      </w:r>
      <w:r>
        <w:rPr>
          <w:rStyle w:val="17"/>
          <w:rFonts w:hint="eastAsia" w:ascii="楷体" w:hAnsi="楷体" w:eastAsia="楷体"/>
          <w:spacing w:val="-4"/>
          <w:sz w:val="32"/>
          <w:szCs w:val="32"/>
        </w:rPr>
        <w:t>一级指标</w:t>
      </w:r>
      <w:r>
        <w:rPr>
          <w:rStyle w:val="17"/>
          <w:rFonts w:hint="eastAsia" w:ascii="楷体" w:hAnsi="楷体" w:eastAsia="楷体"/>
          <w:spacing w:val="-4"/>
          <w:sz w:val="32"/>
          <w:szCs w:val="32"/>
        </w:rPr>
        <w:tab/>
      </w:r>
      <w:r>
        <w:rPr>
          <w:rStyle w:val="17"/>
          <w:rFonts w:hint="eastAsia" w:ascii="楷体" w:hAnsi="楷体" w:eastAsia="楷体"/>
          <w:spacing w:val="-4"/>
          <w:sz w:val="32"/>
          <w:szCs w:val="32"/>
        </w:rPr>
        <w:t>权重</w:t>
      </w:r>
      <w:r>
        <w:rPr>
          <w:rStyle w:val="17"/>
          <w:rFonts w:hint="eastAsia" w:ascii="楷体" w:hAnsi="楷体" w:eastAsia="楷体"/>
          <w:spacing w:val="-4"/>
          <w:sz w:val="32"/>
          <w:szCs w:val="32"/>
        </w:rPr>
        <w:tab/>
      </w:r>
      <w:r>
        <w:rPr>
          <w:rStyle w:val="17"/>
          <w:rFonts w:hint="eastAsia" w:ascii="楷体" w:hAnsi="楷体" w:eastAsia="楷体"/>
          <w:spacing w:val="-4"/>
          <w:sz w:val="32"/>
          <w:szCs w:val="32"/>
        </w:rPr>
        <w:t>得分率</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实际得分  </w:t>
      </w:r>
      <w:r>
        <w:rPr>
          <w:rStyle w:val="17"/>
          <w:rFonts w:hint="eastAsia" w:ascii="楷体" w:hAnsi="楷体" w:eastAsia="楷体"/>
          <w:spacing w:val="-4"/>
          <w:sz w:val="32"/>
          <w:szCs w:val="32"/>
        </w:rPr>
        <w:br/>
      </w:r>
      <w:r>
        <w:rPr>
          <w:rStyle w:val="17"/>
          <w:rFonts w:hint="eastAsia" w:ascii="楷体" w:hAnsi="楷体" w:eastAsia="楷体"/>
          <w:spacing w:val="-4"/>
          <w:sz w:val="32"/>
          <w:szCs w:val="32"/>
        </w:rPr>
        <w:t>A.经济效益</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100%</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10  </w:t>
      </w:r>
      <w:r>
        <w:rPr>
          <w:rStyle w:val="17"/>
          <w:rFonts w:hint="eastAsia" w:ascii="楷体" w:hAnsi="楷体" w:eastAsia="楷体"/>
          <w:spacing w:val="-4"/>
          <w:sz w:val="32"/>
          <w:szCs w:val="32"/>
        </w:rPr>
        <w:br/>
      </w:r>
      <w:r>
        <w:rPr>
          <w:rStyle w:val="17"/>
          <w:rFonts w:hint="eastAsia" w:ascii="楷体" w:hAnsi="楷体" w:eastAsia="楷体"/>
          <w:spacing w:val="-4"/>
          <w:sz w:val="32"/>
          <w:szCs w:val="32"/>
        </w:rPr>
        <w:t>B.满意度</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100%</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10  </w:t>
      </w:r>
      <w:r>
        <w:rPr>
          <w:rStyle w:val="17"/>
          <w:rFonts w:hint="eastAsia" w:ascii="楷体" w:hAnsi="楷体" w:eastAsia="楷体"/>
          <w:spacing w:val="-4"/>
          <w:sz w:val="32"/>
          <w:szCs w:val="32"/>
        </w:rPr>
        <w:br/>
      </w:r>
      <w:r>
        <w:rPr>
          <w:rStyle w:val="17"/>
          <w:rFonts w:hint="eastAsia" w:ascii="楷体" w:hAnsi="楷体" w:eastAsia="楷体"/>
          <w:spacing w:val="-4"/>
          <w:sz w:val="32"/>
          <w:szCs w:val="32"/>
        </w:rPr>
        <w:t>合  计</w:t>
      </w:r>
      <w:r>
        <w:rPr>
          <w:rStyle w:val="17"/>
          <w:rFonts w:hint="eastAsia" w:ascii="楷体" w:hAnsi="楷体" w:eastAsia="楷体"/>
          <w:spacing w:val="-4"/>
          <w:sz w:val="32"/>
          <w:szCs w:val="32"/>
        </w:rPr>
        <w:tab/>
      </w:r>
      <w:r>
        <w:rPr>
          <w:rStyle w:val="17"/>
          <w:rFonts w:hint="eastAsia" w:ascii="楷体" w:hAnsi="楷体" w:eastAsia="楷体"/>
          <w:spacing w:val="-4"/>
          <w:sz w:val="32"/>
          <w:szCs w:val="32"/>
        </w:rPr>
        <w:t>20</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100%</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20  </w:t>
      </w:r>
      <w:r>
        <w:rPr>
          <w:rStyle w:val="17"/>
          <w:rFonts w:hint="eastAsia" w:ascii="楷体" w:hAnsi="楷体" w:eastAsia="楷体"/>
          <w:spacing w:val="-4"/>
          <w:sz w:val="32"/>
          <w:szCs w:val="32"/>
        </w:rPr>
        <w:br/>
      </w:r>
      <w:r>
        <w:rPr>
          <w:rStyle w:val="17"/>
          <w:rFonts w:hint="eastAsia" w:ascii="楷体" w:hAnsi="楷体" w:eastAsia="楷体"/>
          <w:spacing w:val="-4"/>
          <w:sz w:val="32"/>
          <w:szCs w:val="32"/>
        </w:rPr>
        <w:t>1.项目实施的效益分析。一年来，审计厅在毫不放松抓紧抓实抓细常态化疫情防控工作的基础上，依法全面履行审计监督职责，统筹审计项目和审计组织方式，广泛运用现代信息化技术，大力推广大数据审计，切实提质增效。查出主要问题金额2734.99亿元；移送处理事项115件，移送处理人员22人；厅机关提交审计信息289篇，被自治区党委、政府和审计署批示采用61篇；5个审计案例被审计署采用，由审计署形成的综合报告被中央领导批示。完成了设定的绩效目标和效益指标。通过下述两个年度审计查出问题、促进管理的统计数据对比分析，充分表明审计厅切实发挥了审计“治已病、防未病”的建设性作用。</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（五）满意度指标完成情况分析。</w:t>
      </w:r>
    </w:p>
    <w:p>
      <w:pPr>
        <w:spacing w:line="540" w:lineRule="exact"/>
        <w:ind w:firstLine="567"/>
        <w:rPr>
          <w:rStyle w:val="17"/>
          <w:rFonts w:hint="eastAsia" w:ascii="楷体" w:hAnsi="楷体" w:eastAsia="楷体"/>
          <w:spacing w:val="-4"/>
          <w:sz w:val="32"/>
          <w:szCs w:val="32"/>
        </w:rPr>
      </w:pPr>
      <w:r>
        <w:rPr>
          <w:rStyle w:val="17"/>
          <w:rFonts w:hint="eastAsia" w:ascii="楷体" w:hAnsi="楷体" w:eastAsia="楷体"/>
          <w:spacing w:val="-4"/>
          <w:sz w:val="32"/>
          <w:szCs w:val="32"/>
        </w:rPr>
        <w:t>一年来，自治区审计工作得到自治区党委、自治区人民政府、自治区人大以及被审计单位的充分肯定，设定的绩效指标完成率均为100%。一是今年以来，向中央审计委员会及中央审计办呈报请示报告18份、各类审计报告47份，向自治区党委审计委员会呈报请示报告26份，自治区主要领导作出批示20次；各地党委审计办共报送请示报告275份；二是认真贯彻落实中央审计委员会会议精神，研究起草并提请印发《自治区党委审计委员会关于贯彻落实&lt;中央审计委员会关于加强地方党委审计委员会工作的指导意见&gt;的实施意见》《地县党委审计委员会重大事项请示报告工作实施细则》，建立健全工作运行机制，推动实现全区审计一盘棋。建立《自治区党委审计委员会成员单位工作协调推进机制》《自治区党委审计委员会办公室会议制度》，推动委员会议定事项落实，规范自治区党委审计委员会办公室议事程序；三是被审计单位对审计厅派出审计组严谨细致的工作作风，依法依规、客观公正出具的审计报告给予肯定，审计提出的意见建议对被审计单位规范财务管理、提升工作质量起到了很大的促进作用。审计组严格执行审计“四严禁”工作要求和“八不准”工作纪律，截至目前未收到任何单位和个人对审计人员在依法审计、遵守审计纪律、文明审计等方面的投诉。</w:t>
      </w:r>
    </w:p>
    <w:p>
      <w:pPr>
        <w:spacing w:line="540" w:lineRule="exact"/>
        <w:ind w:firstLine="640"/>
        <w:rPr>
          <w:rStyle w:val="17"/>
          <w:rFonts w:ascii="黑体" w:hAnsi="黑体" w:eastAsia="黑体"/>
          <w:spacing w:val="-4"/>
          <w:sz w:val="32"/>
          <w:szCs w:val="32"/>
        </w:rPr>
      </w:pPr>
      <w:r>
        <w:rPr>
          <w:rStyle w:val="17"/>
          <w:rFonts w:hint="eastAsia" w:ascii="黑体" w:hAnsi="黑体" w:eastAsia="黑体"/>
          <w:b w:val="0"/>
          <w:spacing w:val="-4"/>
          <w:sz w:val="32"/>
          <w:szCs w:val="32"/>
          <w:lang w:eastAsia="zh-CN"/>
        </w:rPr>
        <w:t>五</w:t>
      </w:r>
      <w:r>
        <w:rPr>
          <w:rStyle w:val="17"/>
          <w:rFonts w:hint="eastAsia" w:ascii="黑体" w:hAnsi="黑体" w:eastAsia="黑体"/>
          <w:b w:val="0"/>
          <w:spacing w:val="-4"/>
          <w:sz w:val="32"/>
          <w:szCs w:val="32"/>
        </w:rPr>
        <w:t>、</w:t>
      </w:r>
      <w:r>
        <w:rPr>
          <w:rStyle w:val="17"/>
          <w:rFonts w:ascii="黑体" w:hAnsi="黑体" w:eastAsia="黑体"/>
          <w:b w:val="0"/>
          <w:spacing w:val="-4"/>
          <w:sz w:val="32"/>
          <w:szCs w:val="32"/>
        </w:rPr>
        <w:t>主要经验及做法、存在的问题及原因分析</w:t>
      </w:r>
    </w:p>
    <w:p>
      <w:pPr>
        <w:spacing w:line="540" w:lineRule="exact"/>
        <w:ind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 xml:space="preserve">开展全面实施预算绩效管理工作以来，自治区审计厅解决了“有没有”和“会不会”的问题，但距离自治区关于全面实施预算绩效管理的工作要求，还存在一些不足和差距。一是科学合理设定绩效指标的水平有待提高。主要表现在数量指标、经济效益指标的设定较为保守，预期指标与实际完成指标值存在一定的偏差；二是存在指标分类不准确的现象。主要表现在数量指标与效益指标的界定不清晰，将应纳入效益指标的事项列入数量指标进行考核；三是全面实施预算绩效管理的制度建设有待加强。虽然按照要求开展了全面实施预算绩效管理的工作，但绩效管理制度有待进一步完善，绩效评价的机制不够健全。存在的问题及原因分析：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1.预算绩效管理水平仍有欠缺。在2022年预算绩效管理工作中，存在“重投入轻管理、重支出轻绩效”的情况，对全面实施预算绩效管理的要求认识还不到位，项目申报、实施等环节与预算绩效管理各个环节联系不够紧密；同时预算绩效管理也是一项新工作，存在专业人手不足、绩效管理水平欠缺的情况。各处室及所属事业单位对绩效评价工作重视度和质量有待进一步提升。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2.项目绩效目标及绩效指标设置过于笼统，不够细化，在实际实施绩效监控和绩效评价时较为困难。绩效目标的设置应符合量化、细化的要求。   </w:t>
      </w:r>
      <w:r>
        <w:rPr>
          <w:rStyle w:val="17"/>
          <w:rFonts w:hint="eastAsia" w:ascii="楷体" w:hAnsi="楷体" w:eastAsia="楷体"/>
          <w:spacing w:val="-4"/>
          <w:sz w:val="32"/>
          <w:szCs w:val="32"/>
        </w:rPr>
        <w:br/>
      </w:r>
      <w:r>
        <w:rPr>
          <w:rStyle w:val="17"/>
          <w:rFonts w:hint="eastAsia" w:ascii="楷体" w:hAnsi="楷体" w:eastAsia="楷体"/>
          <w:spacing w:val="-4"/>
          <w:sz w:val="32"/>
          <w:szCs w:val="32"/>
        </w:rPr>
        <w:t>3.项目支出进度达不到序时支出进度的要求，在预算执行过程中仍存在专项资金使用与管理偏差滞后因素，绩效监控缺乏责任约束机制。</w:t>
      </w:r>
    </w:p>
    <w:p>
      <w:pPr>
        <w:ind w:firstLine="624" w:firstLineChars="200"/>
        <w:rPr>
          <w:rStyle w:val="17"/>
          <w:rFonts w:ascii="黑体" w:hAnsi="黑体" w:eastAsia="黑体"/>
          <w:b w:val="0"/>
          <w:spacing w:val="-4"/>
          <w:sz w:val="32"/>
          <w:szCs w:val="32"/>
        </w:rPr>
      </w:pPr>
      <w:r>
        <w:rPr>
          <w:rStyle w:val="17"/>
          <w:rFonts w:hint="eastAsia" w:ascii="黑体" w:hAnsi="黑体" w:eastAsia="黑体"/>
          <w:b w:val="0"/>
          <w:spacing w:val="-4"/>
          <w:sz w:val="32"/>
          <w:szCs w:val="32"/>
          <w:lang w:eastAsia="zh-CN"/>
        </w:rPr>
        <w:t>六</w:t>
      </w:r>
      <w:r>
        <w:rPr>
          <w:rStyle w:val="17"/>
          <w:rFonts w:ascii="黑体" w:hAnsi="黑体" w:eastAsia="黑体"/>
          <w:b w:val="0"/>
          <w:spacing w:val="-4"/>
          <w:sz w:val="32"/>
          <w:szCs w:val="32"/>
        </w:rPr>
        <w:t>、有关建议</w:t>
      </w:r>
    </w:p>
    <w:p>
      <w:pPr>
        <w:spacing w:line="540" w:lineRule="exact"/>
        <w:ind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 xml:space="preserve">一是继续加强指导和培训力度，加强对各单位绩效评价工作的指导，使预算编制更加符合绩效评价相关要求，进一步发挥各处室及所属事业单位的作用，搞好部门间工作配合，继续开展不间断的督导指导服务，推进工作落实。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二是强化项目监督管理，充分发挥项目主管部门的监督管理作用，把好项目执行、进度、质量关，加强督促检查，实施全程监管。  </w:t>
      </w:r>
      <w:r>
        <w:rPr>
          <w:rStyle w:val="17"/>
          <w:rFonts w:hint="eastAsia" w:ascii="楷体" w:hAnsi="楷体" w:eastAsia="楷体"/>
          <w:spacing w:val="-4"/>
          <w:sz w:val="32"/>
          <w:szCs w:val="32"/>
        </w:rPr>
        <w:br/>
      </w:r>
      <w:r>
        <w:rPr>
          <w:rStyle w:val="17"/>
          <w:rFonts w:hint="eastAsia" w:ascii="楷体" w:hAnsi="楷体" w:eastAsia="楷体"/>
          <w:spacing w:val="-4"/>
          <w:sz w:val="32"/>
          <w:szCs w:val="32"/>
        </w:rPr>
        <w:t>三是科学的预算编制应该保证预算和目标在质和量上相匹配，即一方面预算应该根据目标来编制，保证每一个目标的实现均有相应的预算安排，另一方面应在合理测算工作量的基础上保证预算编制的准确性。</w:t>
      </w:r>
    </w:p>
    <w:p>
      <w:pPr>
        <w:spacing w:line="540" w:lineRule="exact"/>
        <w:ind w:firstLine="567"/>
        <w:rPr>
          <w:rStyle w:val="17"/>
          <w:rFonts w:ascii="黑体" w:hAnsi="黑体" w:eastAsia="黑体"/>
          <w:b w:val="0"/>
          <w:spacing w:val="-4"/>
          <w:sz w:val="32"/>
          <w:szCs w:val="32"/>
        </w:rPr>
      </w:pPr>
      <w:r>
        <w:rPr>
          <w:rStyle w:val="17"/>
          <w:rFonts w:hint="eastAsia" w:ascii="黑体" w:hAnsi="黑体" w:eastAsia="黑体"/>
          <w:b w:val="0"/>
          <w:spacing w:val="-4"/>
          <w:sz w:val="32"/>
          <w:szCs w:val="32"/>
          <w:lang w:eastAsia="zh-CN"/>
        </w:rPr>
        <w:t>七</w:t>
      </w:r>
      <w:r>
        <w:rPr>
          <w:rStyle w:val="17"/>
          <w:rFonts w:hint="eastAsia" w:ascii="黑体" w:hAnsi="黑体" w:eastAsia="黑体"/>
          <w:b w:val="0"/>
          <w:spacing w:val="-4"/>
          <w:sz w:val="32"/>
          <w:szCs w:val="32"/>
        </w:rPr>
        <w:t>、其他需要说明的问题</w:t>
      </w:r>
    </w:p>
    <w:p>
      <w:pPr>
        <w:spacing w:line="540" w:lineRule="exact"/>
        <w:ind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无其他需要说明的问题</w:t>
      </w: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4" w:type="default"/>
      <w:pgSz w:w="11906" w:h="16838"/>
      <w:pgMar w:top="1440" w:right="1558"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2FF" w:usb1="400004FF" w:usb2="00000000" w:usb3="00000000" w:csb0="2000019F" w:csb1="00000000"/>
  </w:font>
  <w:font w:name="Calibri">
    <w:panose1 w:val="020F0502020204030204"/>
    <w:charset w:val="00"/>
    <w:family w:val="auto"/>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2000000000000"/>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2"/>
      <w:jc w:val="center"/>
    </w:pPr>
    <w:r>
      <w:fldChar w:fldCharType="begin"/>
    </w:r>
    <w:r>
      <w:instrText xml:space="preserve">PAGE   \* MERGEFORMAT</w:instrText>
    </w:r>
    <w:r>
      <w:fldChar w:fldCharType="separate"/>
    </w:r>
    <w:r>
      <w:rPr>
        <w:lang w:val="zh-CN"/>
      </w:rPr>
      <w:t>1</w:t>
    </w:r>
    <w:r>
      <w:fldChar w:fldCharType="end"/>
    </w:r>
  </w:p>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D2606A1"/>
    <w:rsid w:val="5330064F"/>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5"/>
    <w:qFormat/>
    <w:uiPriority w:val="9"/>
    <w:pPr>
      <w:keepNext/>
      <w:widowControl/>
      <w:spacing w:before="240" w:after="60"/>
      <w:jc w:val="left"/>
      <w:outlineLvl w:val="0"/>
    </w:pPr>
    <w:rPr>
      <w:rFonts w:ascii="Cambria" w:hAnsi="Cambria" w:eastAsia="宋体"/>
      <w:b/>
      <w:bCs/>
      <w:kern w:val="32"/>
      <w:sz w:val="32"/>
      <w:szCs w:val="32"/>
    </w:rPr>
  </w:style>
  <w:style w:type="paragraph" w:styleId="3">
    <w:name w:val="heading 2"/>
    <w:basedOn w:val="1"/>
    <w:next w:val="1"/>
    <w:link w:val="26"/>
    <w:unhideWhenUsed/>
    <w:qFormat/>
    <w:uiPriority w:val="9"/>
    <w:pPr>
      <w:keepNext/>
      <w:widowControl/>
      <w:spacing w:before="240" w:after="60"/>
      <w:jc w:val="left"/>
      <w:outlineLvl w:val="1"/>
    </w:pPr>
    <w:rPr>
      <w:rFonts w:ascii="Cambria" w:hAnsi="Cambria" w:eastAsia="宋体"/>
      <w:b/>
      <w:bCs/>
      <w:i/>
      <w:iCs/>
      <w:kern w:val="0"/>
      <w:sz w:val="28"/>
      <w:szCs w:val="28"/>
    </w:rPr>
  </w:style>
  <w:style w:type="paragraph" w:styleId="4">
    <w:name w:val="heading 3"/>
    <w:basedOn w:val="1"/>
    <w:next w:val="1"/>
    <w:link w:val="27"/>
    <w:unhideWhenUsed/>
    <w:qFormat/>
    <w:uiPriority w:val="9"/>
    <w:pPr>
      <w:keepNext/>
      <w:widowControl/>
      <w:spacing w:before="240" w:after="60"/>
      <w:jc w:val="left"/>
      <w:outlineLvl w:val="2"/>
    </w:pPr>
    <w:rPr>
      <w:rFonts w:ascii="Cambria" w:hAnsi="Cambria" w:eastAsia="宋体"/>
      <w:b/>
      <w:bCs/>
      <w:kern w:val="0"/>
      <w:sz w:val="26"/>
      <w:szCs w:val="26"/>
    </w:rPr>
  </w:style>
  <w:style w:type="paragraph" w:styleId="5">
    <w:name w:val="heading 4"/>
    <w:basedOn w:val="1"/>
    <w:next w:val="1"/>
    <w:link w:val="28"/>
    <w:unhideWhenUsed/>
    <w:qFormat/>
    <w:uiPriority w:val="9"/>
    <w:pPr>
      <w:keepNext/>
      <w:widowControl/>
      <w:spacing w:before="240" w:after="60"/>
      <w:jc w:val="left"/>
      <w:outlineLvl w:val="3"/>
    </w:pPr>
    <w:rPr>
      <w:rFonts w:ascii="Calibri" w:hAnsi="Calibri" w:eastAsia="宋体"/>
      <w:b/>
      <w:bCs/>
      <w:kern w:val="0"/>
      <w:sz w:val="28"/>
      <w:szCs w:val="28"/>
    </w:rPr>
  </w:style>
  <w:style w:type="paragraph" w:styleId="6">
    <w:name w:val="heading 5"/>
    <w:basedOn w:val="1"/>
    <w:next w:val="1"/>
    <w:link w:val="29"/>
    <w:unhideWhenUsed/>
    <w:qFormat/>
    <w:uiPriority w:val="9"/>
    <w:pPr>
      <w:widowControl/>
      <w:spacing w:before="240" w:after="60"/>
      <w:jc w:val="left"/>
      <w:outlineLvl w:val="4"/>
    </w:pPr>
    <w:rPr>
      <w:rFonts w:ascii="Calibri" w:hAnsi="Calibri" w:eastAsia="宋体"/>
      <w:b/>
      <w:bCs/>
      <w:i/>
      <w:iCs/>
      <w:kern w:val="0"/>
      <w:sz w:val="26"/>
      <w:szCs w:val="26"/>
    </w:rPr>
  </w:style>
  <w:style w:type="paragraph" w:styleId="7">
    <w:name w:val="heading 6"/>
    <w:basedOn w:val="1"/>
    <w:next w:val="1"/>
    <w:link w:val="30"/>
    <w:unhideWhenUsed/>
    <w:qFormat/>
    <w:uiPriority w:val="9"/>
    <w:pPr>
      <w:widowControl/>
      <w:spacing w:before="240" w:after="60"/>
      <w:jc w:val="left"/>
      <w:outlineLvl w:val="5"/>
    </w:pPr>
    <w:rPr>
      <w:rFonts w:ascii="Calibri" w:hAnsi="Calibri" w:eastAsia="宋体"/>
      <w:b/>
      <w:bCs/>
      <w:kern w:val="0"/>
      <w:sz w:val="22"/>
      <w:szCs w:val="22"/>
    </w:rPr>
  </w:style>
  <w:style w:type="paragraph" w:styleId="8">
    <w:name w:val="heading 7"/>
    <w:basedOn w:val="1"/>
    <w:next w:val="1"/>
    <w:link w:val="31"/>
    <w:unhideWhenUsed/>
    <w:qFormat/>
    <w:uiPriority w:val="9"/>
    <w:pPr>
      <w:widowControl/>
      <w:spacing w:before="240" w:after="60"/>
      <w:jc w:val="left"/>
      <w:outlineLvl w:val="6"/>
    </w:pPr>
    <w:rPr>
      <w:rFonts w:ascii="Calibri" w:hAnsi="Calibri" w:eastAsia="宋体"/>
      <w:kern w:val="0"/>
      <w:sz w:val="24"/>
    </w:rPr>
  </w:style>
  <w:style w:type="paragraph" w:styleId="9">
    <w:name w:val="heading 8"/>
    <w:basedOn w:val="1"/>
    <w:next w:val="1"/>
    <w:link w:val="32"/>
    <w:unhideWhenUsed/>
    <w:qFormat/>
    <w:uiPriority w:val="9"/>
    <w:pPr>
      <w:widowControl/>
      <w:spacing w:before="240" w:after="60"/>
      <w:jc w:val="left"/>
      <w:outlineLvl w:val="7"/>
    </w:pPr>
    <w:rPr>
      <w:rFonts w:ascii="Calibri" w:hAnsi="Calibri" w:eastAsia="宋体"/>
      <w:i/>
      <w:iCs/>
      <w:kern w:val="0"/>
      <w:sz w:val="24"/>
    </w:rPr>
  </w:style>
  <w:style w:type="paragraph" w:styleId="10">
    <w:name w:val="heading 9"/>
    <w:basedOn w:val="1"/>
    <w:next w:val="1"/>
    <w:link w:val="33"/>
    <w:unhideWhenUsed/>
    <w:qFormat/>
    <w:uiPriority w:val="9"/>
    <w:pPr>
      <w:widowControl/>
      <w:spacing w:before="240" w:after="60"/>
      <w:jc w:val="left"/>
      <w:outlineLvl w:val="8"/>
    </w:pPr>
    <w:rPr>
      <w:rFonts w:ascii="Cambria" w:hAnsi="Cambria" w:eastAsia="宋体"/>
      <w:kern w:val="0"/>
      <w:sz w:val="22"/>
      <w:szCs w:val="22"/>
    </w:rPr>
  </w:style>
  <w:style w:type="character" w:default="1" w:styleId="16">
    <w:name w:val="Default Paragraph Font"/>
    <w:unhideWhenUsed/>
    <w:qFormat/>
    <w:uiPriority w:val="1"/>
  </w:style>
  <w:style w:type="table" w:default="1" w:styleId="19">
    <w:name w:val="Normal Table"/>
    <w:unhideWhenUsed/>
    <w:uiPriority w:val="99"/>
    <w:tblPr>
      <w:tblStyle w:val="19"/>
      <w:tblLayout w:type="fixed"/>
      <w:tblCellMar>
        <w:top w:w="0" w:type="dxa"/>
        <w:left w:w="108" w:type="dxa"/>
        <w:bottom w:w="0" w:type="dxa"/>
        <w:right w:w="108" w:type="dxa"/>
      </w:tblCellMar>
    </w:tblPr>
    <w:tcPr>
      <w:textDirection w:val="lrTb"/>
    </w:tcPr>
  </w:style>
  <w:style w:type="paragraph" w:styleId="11">
    <w:name w:val="Balloon Text"/>
    <w:basedOn w:val="1"/>
    <w:link w:val="45"/>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5"/>
    <w:qFormat/>
    <w:uiPriority w:val="11"/>
    <w:pPr>
      <w:widowControl/>
      <w:spacing w:after="60"/>
      <w:jc w:val="center"/>
      <w:outlineLvl w:val="1"/>
    </w:pPr>
    <w:rPr>
      <w:rFonts w:ascii="Cambria" w:hAnsi="Cambria" w:eastAsia="宋体"/>
      <w:kern w:val="0"/>
      <w:sz w:val="24"/>
    </w:rPr>
  </w:style>
  <w:style w:type="paragraph" w:styleId="15">
    <w:name w:val="Title"/>
    <w:basedOn w:val="1"/>
    <w:next w:val="1"/>
    <w:link w:val="34"/>
    <w:qFormat/>
    <w:uiPriority w:val="10"/>
    <w:pPr>
      <w:widowControl/>
      <w:spacing w:before="240" w:after="60"/>
      <w:jc w:val="center"/>
      <w:outlineLvl w:val="0"/>
    </w:pPr>
    <w:rPr>
      <w:rFonts w:ascii="Cambria" w:hAnsi="Cambria" w:eastAsia="宋体"/>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Calibri" w:hAnsi="Calibri"/>
      <w:b/>
      <w:i/>
      <w:iCs/>
    </w:rPr>
  </w:style>
  <w:style w:type="paragraph" w:customStyle="1" w:styleId="20">
    <w:name w:val="No Spacing"/>
    <w:basedOn w:val="1"/>
    <w:qFormat/>
    <w:uiPriority w:val="1"/>
    <w:pPr>
      <w:widowControl/>
      <w:jc w:val="left"/>
    </w:pPr>
    <w:rPr>
      <w:rFonts w:ascii="Calibri" w:hAnsi="Calibri" w:eastAsia="宋体"/>
      <w:kern w:val="0"/>
      <w:sz w:val="24"/>
      <w:szCs w:val="32"/>
      <w:lang w:eastAsia="en-US" w:bidi="en-US"/>
    </w:rPr>
  </w:style>
  <w:style w:type="paragraph" w:customStyle="1" w:styleId="21">
    <w:name w:val="List Paragraph"/>
    <w:basedOn w:val="1"/>
    <w:qFormat/>
    <w:uiPriority w:val="34"/>
    <w:pPr>
      <w:widowControl/>
      <w:ind w:left="720"/>
      <w:contextualSpacing/>
      <w:jc w:val="left"/>
    </w:pPr>
    <w:rPr>
      <w:rFonts w:ascii="Calibri" w:hAnsi="Calibri" w:eastAsia="宋体"/>
      <w:kern w:val="0"/>
      <w:sz w:val="24"/>
      <w:lang w:eastAsia="en-US" w:bidi="en-US"/>
    </w:rPr>
  </w:style>
  <w:style w:type="paragraph" w:customStyle="1" w:styleId="22">
    <w:name w:val="Quote"/>
    <w:basedOn w:val="1"/>
    <w:next w:val="1"/>
    <w:link w:val="36"/>
    <w:qFormat/>
    <w:uiPriority w:val="29"/>
    <w:pPr>
      <w:widowControl/>
      <w:jc w:val="left"/>
    </w:pPr>
    <w:rPr>
      <w:rFonts w:ascii="Calibri" w:hAnsi="Calibri" w:eastAsia="宋体"/>
      <w:i/>
      <w:kern w:val="0"/>
      <w:sz w:val="24"/>
    </w:rPr>
  </w:style>
  <w:style w:type="paragraph" w:customStyle="1" w:styleId="23">
    <w:name w:val="Intense Quote"/>
    <w:basedOn w:val="1"/>
    <w:next w:val="1"/>
    <w:link w:val="37"/>
    <w:qFormat/>
    <w:uiPriority w:val="30"/>
    <w:pPr>
      <w:widowControl/>
      <w:ind w:left="720" w:right="720"/>
      <w:jc w:val="left"/>
    </w:pPr>
    <w:rPr>
      <w:rFonts w:ascii="Calibri" w:hAnsi="Calibri" w:eastAsia="宋体"/>
      <w:b/>
      <w:i/>
      <w:kern w:val="0"/>
      <w:sz w:val="24"/>
      <w:szCs w:val="22"/>
    </w:rPr>
  </w:style>
  <w:style w:type="paragraph" w:customStyle="1" w:styleId="24">
    <w:name w:val="TOC 标题1"/>
    <w:basedOn w:val="2"/>
    <w:next w:val="1"/>
    <w:unhideWhenUsed/>
    <w:qFormat/>
    <w:uiPriority w:val="39"/>
    <w:pPr>
      <w:outlineLvl w:val="9"/>
    </w:pPr>
    <w:rPr>
      <w:lang w:eastAsia="en-US" w:bidi="en-US"/>
    </w:rPr>
  </w:style>
  <w:style w:type="character" w:customStyle="1" w:styleId="25">
    <w:name w:val="标题 1 字符"/>
    <w:basedOn w:val="16"/>
    <w:link w:val="2"/>
    <w:qFormat/>
    <w:uiPriority w:val="9"/>
    <w:rPr>
      <w:rFonts w:ascii="Cambria" w:hAnsi="Cambria" w:eastAsia="宋体"/>
      <w:b/>
      <w:bCs/>
      <w:kern w:val="32"/>
      <w:sz w:val="32"/>
      <w:szCs w:val="32"/>
    </w:rPr>
  </w:style>
  <w:style w:type="character" w:customStyle="1" w:styleId="26">
    <w:name w:val="标题 2 字符"/>
    <w:basedOn w:val="16"/>
    <w:link w:val="3"/>
    <w:semiHidden/>
    <w:qFormat/>
    <w:uiPriority w:val="9"/>
    <w:rPr>
      <w:rFonts w:ascii="Cambria" w:hAnsi="Cambria" w:eastAsia="宋体"/>
      <w:b/>
      <w:bCs/>
      <w:i/>
      <w:iCs/>
      <w:sz w:val="28"/>
      <w:szCs w:val="28"/>
    </w:rPr>
  </w:style>
  <w:style w:type="character" w:customStyle="1" w:styleId="27">
    <w:name w:val="标题 3 字符"/>
    <w:basedOn w:val="16"/>
    <w:link w:val="4"/>
    <w:semiHidden/>
    <w:qFormat/>
    <w:uiPriority w:val="9"/>
    <w:rPr>
      <w:rFonts w:ascii="Cambria" w:hAnsi="Cambria" w:eastAsia="宋体"/>
      <w:b/>
      <w:bCs/>
      <w:sz w:val="26"/>
      <w:szCs w:val="26"/>
    </w:rPr>
  </w:style>
  <w:style w:type="character" w:customStyle="1" w:styleId="28">
    <w:name w:val="标题 4 字符"/>
    <w:basedOn w:val="16"/>
    <w:link w:val="5"/>
    <w:qFormat/>
    <w:uiPriority w:val="9"/>
    <w:rPr>
      <w:b/>
      <w:bCs/>
      <w:sz w:val="28"/>
      <w:szCs w:val="28"/>
    </w:rPr>
  </w:style>
  <w:style w:type="character" w:customStyle="1" w:styleId="29">
    <w:name w:val="标题 5 字符"/>
    <w:basedOn w:val="16"/>
    <w:link w:val="6"/>
    <w:semiHidden/>
    <w:qFormat/>
    <w:uiPriority w:val="9"/>
    <w:rPr>
      <w:b/>
      <w:bCs/>
      <w:i/>
      <w:iCs/>
      <w:sz w:val="26"/>
      <w:szCs w:val="26"/>
    </w:rPr>
  </w:style>
  <w:style w:type="character" w:customStyle="1" w:styleId="30">
    <w:name w:val="标题 6 字符"/>
    <w:basedOn w:val="16"/>
    <w:link w:val="7"/>
    <w:semiHidden/>
    <w:qFormat/>
    <w:uiPriority w:val="9"/>
    <w:rPr>
      <w:b/>
      <w:bCs/>
    </w:rPr>
  </w:style>
  <w:style w:type="character" w:customStyle="1" w:styleId="31">
    <w:name w:val="标题 7 字符"/>
    <w:basedOn w:val="16"/>
    <w:link w:val="8"/>
    <w:semiHidden/>
    <w:qFormat/>
    <w:uiPriority w:val="9"/>
    <w:rPr>
      <w:sz w:val="24"/>
      <w:szCs w:val="24"/>
    </w:rPr>
  </w:style>
  <w:style w:type="character" w:customStyle="1" w:styleId="32">
    <w:name w:val="标题 8 字符"/>
    <w:basedOn w:val="16"/>
    <w:link w:val="9"/>
    <w:semiHidden/>
    <w:qFormat/>
    <w:uiPriority w:val="9"/>
    <w:rPr>
      <w:i/>
      <w:iCs/>
      <w:sz w:val="24"/>
      <w:szCs w:val="24"/>
    </w:rPr>
  </w:style>
  <w:style w:type="character" w:customStyle="1" w:styleId="33">
    <w:name w:val="标题 9 字符"/>
    <w:basedOn w:val="16"/>
    <w:link w:val="10"/>
    <w:semiHidden/>
    <w:qFormat/>
    <w:uiPriority w:val="9"/>
    <w:rPr>
      <w:rFonts w:ascii="Cambria" w:hAnsi="Cambria" w:eastAsia="宋体"/>
    </w:rPr>
  </w:style>
  <w:style w:type="character" w:customStyle="1" w:styleId="34">
    <w:name w:val="标题 字符"/>
    <w:basedOn w:val="16"/>
    <w:link w:val="15"/>
    <w:qFormat/>
    <w:uiPriority w:val="10"/>
    <w:rPr>
      <w:rFonts w:ascii="Cambria" w:hAnsi="Cambria" w:eastAsia="宋体"/>
      <w:b/>
      <w:bCs/>
      <w:kern w:val="28"/>
      <w:sz w:val="32"/>
      <w:szCs w:val="32"/>
    </w:rPr>
  </w:style>
  <w:style w:type="character" w:customStyle="1" w:styleId="35">
    <w:name w:val="副标题 字符"/>
    <w:basedOn w:val="16"/>
    <w:link w:val="14"/>
    <w:uiPriority w:val="11"/>
    <w:rPr>
      <w:rFonts w:ascii="Cambria" w:hAnsi="Cambria" w:eastAsia="宋体"/>
      <w:sz w:val="24"/>
      <w:szCs w:val="24"/>
    </w:rPr>
  </w:style>
  <w:style w:type="character" w:customStyle="1" w:styleId="36">
    <w:name w:val="引用 字符"/>
    <w:basedOn w:val="16"/>
    <w:link w:val="22"/>
    <w:uiPriority w:val="29"/>
    <w:rPr>
      <w:i/>
      <w:sz w:val="24"/>
      <w:szCs w:val="24"/>
    </w:rPr>
  </w:style>
  <w:style w:type="character" w:customStyle="1" w:styleId="37">
    <w:name w:val="明显引用 字符"/>
    <w:basedOn w:val="16"/>
    <w:link w:val="23"/>
    <w:uiPriority w:val="30"/>
    <w:rPr>
      <w:b/>
      <w:i/>
      <w:sz w:val="24"/>
    </w:rPr>
  </w:style>
  <w:style w:type="character" w:customStyle="1" w:styleId="38">
    <w:name w:val="不明显强调1"/>
    <w:qFormat/>
    <w:uiPriority w:val="19"/>
    <w:rPr>
      <w:i/>
      <w:color w:val="565656"/>
    </w:rPr>
  </w:style>
  <w:style w:type="character" w:customStyle="1" w:styleId="39">
    <w:name w:val="明显强调1"/>
    <w:basedOn w:val="16"/>
    <w:qFormat/>
    <w:uiPriority w:val="21"/>
    <w:rPr>
      <w:b/>
      <w:i/>
      <w:sz w:val="24"/>
      <w:szCs w:val="24"/>
      <w:u w:val="single"/>
    </w:rPr>
  </w:style>
  <w:style w:type="character" w:customStyle="1" w:styleId="40">
    <w:name w:val="不明显参考1"/>
    <w:basedOn w:val="16"/>
    <w:qFormat/>
    <w:uiPriority w:val="31"/>
    <w:rPr>
      <w:sz w:val="24"/>
      <w:szCs w:val="24"/>
      <w:u w:val="single"/>
    </w:rPr>
  </w:style>
  <w:style w:type="character" w:customStyle="1" w:styleId="41">
    <w:name w:val="明显参考1"/>
    <w:basedOn w:val="16"/>
    <w:qFormat/>
    <w:uiPriority w:val="32"/>
    <w:rPr>
      <w:b/>
      <w:sz w:val="24"/>
      <w:u w:val="single"/>
    </w:rPr>
  </w:style>
  <w:style w:type="character" w:customStyle="1" w:styleId="42">
    <w:name w:val="书籍标题1"/>
    <w:basedOn w:val="16"/>
    <w:qFormat/>
    <w:uiPriority w:val="33"/>
    <w:rPr>
      <w:rFonts w:ascii="Cambria" w:hAnsi="Cambria" w:eastAsia="宋体"/>
      <w:b/>
      <w:i/>
      <w:sz w:val="24"/>
      <w:szCs w:val="24"/>
    </w:rPr>
  </w:style>
  <w:style w:type="character" w:customStyle="1" w:styleId="43">
    <w:name w:val="页眉 字符"/>
    <w:basedOn w:val="16"/>
    <w:link w:val="13"/>
    <w:uiPriority w:val="99"/>
    <w:rPr>
      <w:rFonts w:ascii="Calibri" w:hAnsi="Calibri" w:eastAsia="宋体"/>
      <w:kern w:val="2"/>
      <w:sz w:val="18"/>
      <w:szCs w:val="18"/>
    </w:rPr>
  </w:style>
  <w:style w:type="character" w:customStyle="1" w:styleId="44">
    <w:name w:val="页脚 字符"/>
    <w:basedOn w:val="16"/>
    <w:link w:val="12"/>
    <w:uiPriority w:val="99"/>
    <w:rPr>
      <w:rFonts w:ascii="Calibri" w:hAnsi="Calibri" w:eastAsia="宋体"/>
      <w:kern w:val="2"/>
      <w:sz w:val="18"/>
      <w:szCs w:val="18"/>
    </w:rPr>
  </w:style>
  <w:style w:type="character" w:customStyle="1" w:styleId="45">
    <w:name w:val="批注框文本 字符"/>
    <w:basedOn w:val="16"/>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0</CharactersWithSpaces>
  <Application>WPS Office 专业版_9.1.0.4895_{F1E327BC-269C-435d-A152-05C5408002CA}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sjt</cp:lastModifiedBy>
  <cp:lastPrinted>2018-12-31T10:56:00Z</cp:lastPrinted>
  <dcterms:modified xsi:type="dcterms:W3CDTF">2023-08-17T10:29:49Z</dcterms:modified>
  <dc:title>附件2：</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2052-9.1.0.4895</vt:lpwstr>
  </property>
</Properties>
</file>